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w:t>
      </w:r>
    </w:p>
    <w:p>
      <w:pPr>
        <w:sectPr>
          <w:pgSz w:w="11900" w:h="16838" w:orient="portrait"/>
          <w:cols w:equalWidth="0" w:num="1">
            <w:col w:w="9019"/>
          </w:cols>
          <w:pgMar w:left="1440" w:top="900" w:right="1440" w:bottom="1440" w:gutter="0" w:footer="0" w:header="0"/>
        </w:sectPr>
      </w:pPr>
    </w:p>
    <w:p>
      <w:pPr>
        <w:spacing w:after="0" w:line="20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2">
            <w:col w:w="3460" w:space="720"/>
            <w:col w:w="4839"/>
          </w:cols>
          <w:pgMar w:left="1440" w:top="900" w:right="1440" w:bottom="1440" w:gutter="0" w:footer="0" w:header="0"/>
          <w:type w:val="continuous"/>
        </w:sectPr>
      </w:pPr>
    </w:p>
    <w:p>
      <w:pPr>
        <w:spacing w:after="0" w:line="1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900" w:right="1440" w:bottom="1440" w:gutter="0" w:footer="0" w:header="0"/>
          <w:type w:val="continuous"/>
        </w:sectPr>
      </w:pPr>
    </w:p>
    <w:p>
      <w:pPr>
        <w:spacing w:after="0" w:line="237" w:lineRule="exact"/>
        <w:rPr>
          <w:sz w:val="24"/>
          <w:szCs w:val="24"/>
          <w:color w:val="auto"/>
        </w:rPr>
      </w:pPr>
    </w:p>
    <w:p>
      <w:pPr>
        <w:ind w:left="940" w:hanging="64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00" w:right="2219" w:hanging="8"/>
        <w:spacing w:after="0" w:line="216" w:lineRule="exact"/>
        <w:tabs>
          <w:tab w:leader="none" w:pos="9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940" w:hanging="64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40" w:hanging="64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ROOT, INC.</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940" w:hanging="648"/>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940" w:hanging="648"/>
        <w:spacing w:after="0"/>
        <w:tabs>
          <w:tab w:leader="none" w:pos="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940" w:hanging="648"/>
        <w:spacing w:after="0"/>
        <w:tabs>
          <w:tab w:leader="none" w:pos="9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9019"/>
          </w:cols>
          <w:pgMar w:left="1440" w:top="900" w:right="1440" w:bottom="1440" w:gutter="0" w:footer="0" w:header="0"/>
          <w:type w:val="continuous"/>
        </w:sectPr>
      </w:pPr>
    </w:p>
    <w:bookmarkStart w:id="1" w:name="page2"/>
    <w:bookmarkEnd w:id="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Root,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 E. Rich Street, Suite 500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Columbus, Ohio 43215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 980-9431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FF5715"/>
        </w:rPr>
        <w:t>NOTICE OF ANNUAL MEETING OF STOCKHOLDERS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3, 2026</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Root, Inc.:</w:t>
      </w:r>
    </w:p>
    <w:p>
      <w:pPr>
        <w:spacing w:after="0" w:line="20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On behalf of our board of directors, it is our pleasure to cordially invite you to attend the 2026 Annual Meeting of Stockholders (the “Annual Meeting”) of Root, Inc., a Delaware corporation (the “Company”). The Annual Meeting</w:t>
      </w:r>
    </w:p>
    <w:p>
      <w:pPr>
        <w:jc w:val="both"/>
        <w:ind w:left="300" w:right="419"/>
        <w:spacing w:after="0" w:line="250" w:lineRule="auto"/>
        <w:rPr>
          <w:sz w:val="20"/>
          <w:szCs w:val="20"/>
          <w:color w:val="auto"/>
        </w:rPr>
      </w:pPr>
      <w:r>
        <w:rPr>
          <w:rFonts w:ascii="Times New Roman" w:cs="Times New Roman" w:eastAsia="Times New Roman" w:hAnsi="Times New Roman"/>
          <w:sz w:val="18"/>
          <w:szCs w:val="18"/>
          <w:color w:val="auto"/>
        </w:rPr>
        <w:t>will be held virtually, via live webcast at www.virtualshareholdermeeting.com/ROOT2026, originating from Columbus, Ohio, on Wednesday, June 3, 2026 , at 11:00 a.m. Eastern Daylight Time. We believe hosting a virtual meeting enables participation by more of our stockholders, while lowering the cost of conducting the meeting.</w:t>
      </w:r>
    </w:p>
    <w:p>
      <w:pPr>
        <w:spacing w:after="0" w:line="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Stockholders attending the virtual meeting may participate and vote online during the virtual meeting. We encourage you to attend online and participate. We recommend that you log in a few minutes before 11:00 a.m. Eastern Daylight Time, on June 3, 2026, to ensure you are logged in when the Annual Meeting starts.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21" w:lineRule="exact"/>
        <w:rPr>
          <w:sz w:val="20"/>
          <w:szCs w:val="20"/>
          <w:color w:val="auto"/>
        </w:rPr>
      </w:pPr>
    </w:p>
    <w:tbl>
      <w:tblPr>
        <w:tblLayout w:type="fixed"/>
        <w:tblInd w:w="940" w:type="dxa"/>
        <w:tblCellMar>
          <w:top w:w="0" w:type="dxa"/>
          <w:left w:w="0" w:type="dxa"/>
          <w:bottom w:w="0" w:type="dxa"/>
          <w:right w:w="0" w:type="dxa"/>
        </w:tblCellMar>
      </w:tblPr>
      <w:tr>
        <w:trPr>
          <w:trHeight w:val="22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elect three Class III directors, Lawrence Hilsheimer, Alexander Timm and Douglas Ulman  ,</w:t>
            </w:r>
          </w:p>
        </w:tc>
      </w:tr>
      <w:tr>
        <w:trPr>
          <w:trHeight w:val="234"/>
        </w:trPr>
        <w:tc>
          <w:tcPr>
            <w:tcW w:w="400" w:type="dxa"/>
            <w:vAlign w:val="bottom"/>
          </w:tcPr>
          <w:p>
            <w:pPr>
              <w:spacing w:after="0"/>
              <w:rPr>
                <w:sz w:val="20"/>
                <w:szCs w:val="20"/>
                <w:color w:val="auto"/>
              </w:rPr>
            </w:pPr>
          </w:p>
        </w:tc>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each to hold office until our Annual Meeting of Stockholders in 2029;</w:t>
            </w:r>
          </w:p>
        </w:tc>
      </w:tr>
    </w:tbl>
    <w:p>
      <w:pPr>
        <w:spacing w:after="0" w:line="198" w:lineRule="exact"/>
        <w:rPr>
          <w:sz w:val="20"/>
          <w:szCs w:val="20"/>
          <w:color w:val="auto"/>
        </w:rPr>
      </w:pPr>
    </w:p>
    <w:p>
      <w:pPr>
        <w:ind w:left="1580" w:right="579" w:hanging="640"/>
        <w:spacing w:after="0" w:line="266" w:lineRule="auto"/>
        <w:tabs>
          <w:tab w:leader="none" w:pos="1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risk and finance committee of our board of directors of Deloitte &amp; Touche LLP as our independent registered public accounting firm for the fiscal year ending December 31, 2026;</w:t>
      </w:r>
    </w:p>
    <w:p>
      <w:pPr>
        <w:spacing w:after="0" w:line="175" w:lineRule="exact"/>
        <w:rPr>
          <w:rFonts w:ascii="Times New Roman" w:cs="Times New Roman" w:eastAsia="Times New Roman" w:hAnsi="Times New Roman"/>
          <w:sz w:val="18"/>
          <w:szCs w:val="18"/>
          <w:b w:val="1"/>
          <w:bCs w:val="1"/>
          <w:color w:val="auto"/>
        </w:rPr>
      </w:pPr>
    </w:p>
    <w:p>
      <w:pPr>
        <w:ind w:left="1580" w:hanging="640"/>
        <w:spacing w:after="0"/>
        <w:tabs>
          <w:tab w:leader="none" w:pos="1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on an advisory basis, our named executive officer compensation;</w:t>
      </w:r>
    </w:p>
    <w:p>
      <w:pPr>
        <w:spacing w:after="0" w:line="225" w:lineRule="exact"/>
        <w:rPr>
          <w:rFonts w:ascii="Times New Roman" w:cs="Times New Roman" w:eastAsia="Times New Roman" w:hAnsi="Times New Roman"/>
          <w:sz w:val="18"/>
          <w:szCs w:val="18"/>
          <w:b w:val="1"/>
          <w:bCs w:val="1"/>
          <w:color w:val="auto"/>
        </w:rPr>
      </w:pPr>
    </w:p>
    <w:p>
      <w:pPr>
        <w:ind w:left="1580" w:right="419" w:hanging="640"/>
        <w:spacing w:after="0" w:line="282" w:lineRule="auto"/>
        <w:tabs>
          <w:tab w:leader="none" w:pos="1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Company’s Amended and Restated Certificate of Incorporation, as amended, to allow for exculpation of certain officers; and</w:t>
      </w:r>
    </w:p>
    <w:p>
      <w:pPr>
        <w:spacing w:after="0" w:line="161" w:lineRule="exact"/>
        <w:rPr>
          <w:rFonts w:ascii="Times New Roman" w:cs="Times New Roman" w:eastAsia="Times New Roman" w:hAnsi="Times New Roman"/>
          <w:sz w:val="18"/>
          <w:szCs w:val="18"/>
          <w:b w:val="1"/>
          <w:bCs w:val="1"/>
          <w:color w:val="auto"/>
        </w:rPr>
      </w:pPr>
    </w:p>
    <w:p>
      <w:pPr>
        <w:ind w:left="1640" w:hanging="700"/>
        <w:spacing w:after="0"/>
        <w:tabs>
          <w:tab w:leader="none" w:pos="1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6, 2026. Only stockholders of record at the close of business on that date may vote at the Annual Meeting or any adjournment thereof.</w:t>
      </w:r>
    </w:p>
    <w:p>
      <w:pPr>
        <w:spacing w:after="0" w:line="21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Jodi E. Baker</w:t>
      </w:r>
    </w:p>
    <w:p>
      <w:pPr>
        <w:spacing w:after="0" w:line="2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24, 2026</w:t>
      </w:r>
    </w:p>
    <w:p>
      <w:pPr>
        <w:sectPr>
          <w:pgSz w:w="11900" w:h="16838" w:orient="portrait"/>
          <w:cols w:equalWidth="0" w:num="1">
            <w:col w:w="9019"/>
          </w:cols>
          <w:pgMar w:left="1440" w:top="1440" w:right="1440" w:bottom="1440" w:gutter="0" w:footer="0" w:header="0"/>
        </w:sectPr>
      </w:pPr>
    </w:p>
    <w:bookmarkStart w:id="3" w:name="page4"/>
    <w:bookmarkEnd w:id="3"/>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60" w:right="359"/>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Whether or not you expect to attend the Annual Meeting, PLEASE VOTE YOUR SHARES. As an alternative to voting online at the Annual Meeting, you may vote your shares in advance of the Annual Meeting through the internet, by telephone or, if you receive a paper proxy card in the mail, by mailing the completed proxy card. Voting instructions are provided in the Notice of Internet Availability of Proxy Materials or, if you receive a paper proxy card by mail, the instructions are printed on your proxy card.</w:t>
      </w:r>
    </w:p>
    <w:p>
      <w:pPr>
        <w:spacing w:after="0" w:line="182" w:lineRule="exact"/>
        <w:rPr>
          <w:sz w:val="20"/>
          <w:szCs w:val="20"/>
          <w:color w:val="auto"/>
        </w:rPr>
      </w:pPr>
    </w:p>
    <w:p>
      <w:pPr>
        <w:ind w:left="360" w:right="479"/>
        <w:spacing w:after="0" w:line="268" w:lineRule="auto"/>
        <w:rPr>
          <w:sz w:val="20"/>
          <w:szCs w:val="20"/>
          <w:color w:val="auto"/>
        </w:rPr>
      </w:pPr>
      <w:r>
        <w:rPr>
          <w:rFonts w:ascii="Times New Roman" w:cs="Times New Roman" w:eastAsia="Times New Roman" w:hAnsi="Times New Roman"/>
          <w:sz w:val="18"/>
          <w:szCs w:val="18"/>
          <w:b w:val="1"/>
          <w:bCs w:val="1"/>
          <w:color w:val="auto"/>
        </w:rPr>
        <w:t>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w:t>
      </w:r>
    </w:p>
    <w:p>
      <w:pPr>
        <w:sectPr>
          <w:pgSz w:w="11900" w:h="16838" w:orient="portrait"/>
          <w:cols w:equalWidth="0" w:num="1">
            <w:col w:w="9019"/>
          </w:cols>
          <w:pgMar w:left="1440" w:top="1440" w:right="1440" w:bottom="1440" w:gutter="0" w:footer="0" w:header="0"/>
        </w:sectPr>
      </w:pPr>
    </w:p>
    <w:bookmarkStart w:id="4" w:name="page5"/>
    <w:bookmarkEnd w:id="4"/>
    <w:p>
      <w:pPr>
        <w:ind w:left="3140"/>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4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97" w:lineRule="exact"/>
        <w:rPr>
          <w:sz w:val="20"/>
          <w:szCs w:val="20"/>
          <w:color w:val="auto"/>
        </w:rPr>
      </w:pPr>
    </w:p>
    <w:p>
      <w:pPr>
        <w:ind w:left="360"/>
        <w:spacing w:after="0"/>
        <w:tabs>
          <w:tab w:leader="dot" w:pos="8560" w:val="left"/>
        </w:tabs>
        <w:rPr>
          <w:sz w:val="20"/>
          <w:szCs w:val="20"/>
          <w:color w:val="auto"/>
        </w:rPr>
      </w:pPr>
      <w:r>
        <w:rPr>
          <w:rFonts w:ascii="Times New Roman" w:cs="Times New Roman" w:eastAsia="Times New Roman" w:hAnsi="Times New Roman"/>
          <w:sz w:val="18"/>
          <w:szCs w:val="18"/>
          <w:u w:val="single" w:color="auto"/>
          <w:color w:val="auto"/>
        </w:rPr>
        <w:t>QUESTIONS AND ANSWERS ABOUT THESE PROXY MATERIALS AND VOTING</w:t>
      </w:r>
      <w:r>
        <w:rPr>
          <w:sz w:val="20"/>
          <w:szCs w:val="20"/>
          <w:color w:val="auto"/>
        </w:rPr>
        <w:tab/>
      </w:r>
      <w:r>
        <w:rPr>
          <w:rFonts w:ascii="Times New Roman" w:cs="Times New Roman" w:eastAsia="Times New Roman" w:hAnsi="Times New Roman"/>
          <w:sz w:val="16"/>
          <w:szCs w:val="16"/>
          <w:u w:val="single" w:color="auto"/>
          <w:color w:val="auto"/>
        </w:rPr>
        <w:t>2</w:t>
      </w:r>
    </w:p>
    <w:p>
      <w:pPr>
        <w:spacing w:after="0" w:line="225" w:lineRule="exact"/>
        <w:rPr>
          <w:sz w:val="20"/>
          <w:szCs w:val="20"/>
          <w:color w:val="auto"/>
        </w:rPr>
      </w:pPr>
    </w:p>
    <w:p>
      <w:pPr>
        <w:ind w:left="360"/>
        <w:spacing w:after="0"/>
        <w:tabs>
          <w:tab w:leader="dot" w:pos="8560" w:val="left"/>
        </w:tabs>
        <w:rPr>
          <w:sz w:val="20"/>
          <w:szCs w:val="20"/>
          <w:color w:val="auto"/>
        </w:rPr>
      </w:pPr>
      <w:r>
        <w:rPr>
          <w:rFonts w:ascii="Times New Roman" w:cs="Times New Roman" w:eastAsia="Times New Roman" w:hAnsi="Times New Roman"/>
          <w:sz w:val="18"/>
          <w:szCs w:val="18"/>
          <w:u w:val="single" w:color="auto"/>
          <w:color w:val="auto"/>
        </w:rPr>
        <w:t>PROPOSAL 1 - ELECTION OF DIRECTORS</w:t>
      </w:r>
      <w:r>
        <w:rPr>
          <w:sz w:val="20"/>
          <w:szCs w:val="20"/>
          <w:color w:val="auto"/>
        </w:rPr>
        <w:tab/>
      </w:r>
      <w:r>
        <w:rPr>
          <w:rFonts w:ascii="Times New Roman" w:cs="Times New Roman" w:eastAsia="Times New Roman" w:hAnsi="Times New Roman"/>
          <w:sz w:val="16"/>
          <w:szCs w:val="16"/>
          <w:u w:val="single" w:color="auto"/>
          <w:color w:val="auto"/>
        </w:rPr>
        <w:t>9</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INFORMATION REGARDING DIRECTOR NOMINEES AND CURRENT DIRECTORS</w:t>
      </w:r>
      <w:r>
        <w:rPr>
          <w:sz w:val="20"/>
          <w:szCs w:val="20"/>
          <w:color w:val="auto"/>
        </w:rPr>
        <w:tab/>
      </w:r>
      <w:r>
        <w:rPr>
          <w:rFonts w:ascii="Times New Roman" w:cs="Times New Roman" w:eastAsia="Times New Roman" w:hAnsi="Times New Roman"/>
          <w:sz w:val="18"/>
          <w:szCs w:val="18"/>
          <w:u w:val="single" w:color="auto"/>
          <w:color w:val="auto"/>
        </w:rPr>
        <w:t>10</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INFORMATION REGARDING THE BOARD OF DIRECTORS AND CORPORATE GOVERNANCE</w:t>
      </w:r>
      <w:r>
        <w:rPr>
          <w:sz w:val="20"/>
          <w:szCs w:val="20"/>
          <w:color w:val="auto"/>
        </w:rPr>
        <w:tab/>
      </w:r>
      <w:r>
        <w:rPr>
          <w:rFonts w:ascii="Times New Roman" w:cs="Times New Roman" w:eastAsia="Times New Roman" w:hAnsi="Times New Roman"/>
          <w:sz w:val="18"/>
          <w:szCs w:val="18"/>
          <w:u w:val="single" w:color="auto"/>
          <w:color w:val="auto"/>
        </w:rPr>
        <w:t>14</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NON-EMPLOYEE DIRECTOR COMPENSATION</w:t>
      </w:r>
      <w:r>
        <w:rPr>
          <w:sz w:val="20"/>
          <w:szCs w:val="20"/>
          <w:color w:val="auto"/>
        </w:rPr>
        <w:tab/>
      </w:r>
      <w:r>
        <w:rPr>
          <w:rFonts w:ascii="Times New Roman" w:cs="Times New Roman" w:eastAsia="Times New Roman" w:hAnsi="Times New Roman"/>
          <w:sz w:val="18"/>
          <w:szCs w:val="18"/>
          <w:u w:val="single" w:color="auto"/>
          <w:color w:val="auto"/>
        </w:rPr>
        <w:t>26</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PROPOSAL 2 - RATIFICATION OF OUR SELECTION OF INDEPENDENT REGISTERED PUBLIC</w:t>
      </w:r>
    </w:p>
    <w:p>
      <w:pPr>
        <w:spacing w:after="0" w:line="27"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ACCOUNTING FIRM</w:t>
      </w:r>
      <w:r>
        <w:rPr>
          <w:sz w:val="20"/>
          <w:szCs w:val="20"/>
          <w:color w:val="auto"/>
        </w:rPr>
        <w:tab/>
      </w:r>
      <w:r>
        <w:rPr>
          <w:rFonts w:ascii="Times New Roman" w:cs="Times New Roman" w:eastAsia="Times New Roman" w:hAnsi="Times New Roman"/>
          <w:sz w:val="18"/>
          <w:szCs w:val="18"/>
          <w:u w:val="single" w:color="auto"/>
          <w:color w:val="auto"/>
        </w:rPr>
        <w:t>28</w:t>
      </w:r>
    </w:p>
    <w:p>
      <w:pPr>
        <w:spacing w:after="0" w:line="220"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EXECUTIVE OFFICERS</w:t>
      </w:r>
      <w:r>
        <w:rPr>
          <w:sz w:val="20"/>
          <w:szCs w:val="20"/>
          <w:color w:val="auto"/>
        </w:rPr>
        <w:tab/>
      </w:r>
      <w:r>
        <w:rPr>
          <w:rFonts w:ascii="Times New Roman" w:cs="Times New Roman" w:eastAsia="Times New Roman" w:hAnsi="Times New Roman"/>
          <w:sz w:val="18"/>
          <w:szCs w:val="18"/>
          <w:u w:val="single" w:color="auto"/>
          <w:color w:val="auto"/>
        </w:rPr>
        <w:t>29</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EXECUTIVE COMPENSATION</w:t>
      </w:r>
      <w:r>
        <w:rPr>
          <w:sz w:val="20"/>
          <w:szCs w:val="20"/>
          <w:color w:val="auto"/>
        </w:rPr>
        <w:tab/>
      </w:r>
      <w:r>
        <w:rPr>
          <w:rFonts w:ascii="Times New Roman" w:cs="Times New Roman" w:eastAsia="Times New Roman" w:hAnsi="Times New Roman"/>
          <w:sz w:val="18"/>
          <w:szCs w:val="18"/>
          <w:u w:val="single" w:color="auto"/>
          <w:color w:val="auto"/>
        </w:rPr>
        <w:t>30</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PROPOSAL 3 - APPROVAL, ON AN ADVISORY BASIS, OF OUR NAMED EXECUTIVE OFFICER</w:t>
      </w:r>
    </w:p>
    <w:p>
      <w:pPr>
        <w:spacing w:after="0" w:line="27"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COMPENSATION</w:t>
      </w:r>
      <w:r>
        <w:rPr>
          <w:sz w:val="20"/>
          <w:szCs w:val="20"/>
          <w:color w:val="auto"/>
        </w:rPr>
        <w:tab/>
      </w:r>
      <w:r>
        <w:rPr>
          <w:rFonts w:ascii="Times New Roman" w:cs="Times New Roman" w:eastAsia="Times New Roman" w:hAnsi="Times New Roman"/>
          <w:sz w:val="18"/>
          <w:szCs w:val="18"/>
          <w:u w:val="single" w:color="auto"/>
          <w:color w:val="auto"/>
        </w:rPr>
        <w:t>58</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PROPOSAL 4 - APPROVAL OF AN AMENDMENT TO THE COMPANY’S AMENDED AND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RESTATED CERTIFICATE OF INCORPORATION TO ALLOW FOR EXCULPATION OF CERTAIN</w:t>
      </w:r>
    </w:p>
    <w:p>
      <w:pPr>
        <w:spacing w:after="0" w:line="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OFFICERS</w:t>
      </w:r>
      <w:r>
        <w:rPr>
          <w:sz w:val="20"/>
          <w:szCs w:val="20"/>
          <w:color w:val="auto"/>
        </w:rPr>
        <w:tab/>
      </w:r>
      <w:r>
        <w:rPr>
          <w:rFonts w:ascii="Times New Roman" w:cs="Times New Roman" w:eastAsia="Times New Roman" w:hAnsi="Times New Roman"/>
          <w:sz w:val="18"/>
          <w:szCs w:val="18"/>
          <w:u w:val="single" w:color="auto"/>
          <w:color w:val="auto"/>
        </w:rPr>
        <w:t>59</w:t>
      </w:r>
    </w:p>
    <w:p>
      <w:pPr>
        <w:spacing w:after="0" w:line="220"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w:t>
      </w:r>
      <w:r>
        <w:rPr>
          <w:sz w:val="20"/>
          <w:szCs w:val="20"/>
          <w:color w:val="auto"/>
        </w:rPr>
        <w:tab/>
      </w:r>
      <w:r>
        <w:rPr>
          <w:rFonts w:ascii="Times New Roman" w:cs="Times New Roman" w:eastAsia="Times New Roman" w:hAnsi="Times New Roman"/>
          <w:sz w:val="18"/>
          <w:szCs w:val="18"/>
          <w:u w:val="single" w:color="auto"/>
          <w:color w:val="auto"/>
        </w:rPr>
        <w:t>61</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TRANSACTIONS WITH RELATED PERSONS</w:t>
      </w:r>
      <w:r>
        <w:rPr>
          <w:sz w:val="20"/>
          <w:szCs w:val="20"/>
          <w:color w:val="auto"/>
        </w:rPr>
        <w:tab/>
      </w:r>
      <w:r>
        <w:rPr>
          <w:rFonts w:ascii="Times New Roman" w:cs="Times New Roman" w:eastAsia="Times New Roman" w:hAnsi="Times New Roman"/>
          <w:sz w:val="18"/>
          <w:szCs w:val="18"/>
          <w:u w:val="single" w:color="auto"/>
          <w:color w:val="auto"/>
        </w:rPr>
        <w:t>64</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DELINQUENT SECTION 16(a) REPORTS</w:t>
      </w:r>
      <w:r>
        <w:rPr>
          <w:sz w:val="20"/>
          <w:szCs w:val="20"/>
          <w:color w:val="auto"/>
        </w:rPr>
        <w:tab/>
      </w:r>
      <w:r>
        <w:rPr>
          <w:rFonts w:ascii="Times New Roman" w:cs="Times New Roman" w:eastAsia="Times New Roman" w:hAnsi="Times New Roman"/>
          <w:sz w:val="18"/>
          <w:szCs w:val="18"/>
          <w:u w:val="single" w:color="auto"/>
          <w:color w:val="auto"/>
        </w:rPr>
        <w:t>65</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HOUSEHOLDING OF PROXY MATERIALS</w:t>
      </w:r>
      <w:r>
        <w:rPr>
          <w:sz w:val="20"/>
          <w:szCs w:val="20"/>
          <w:color w:val="auto"/>
        </w:rPr>
        <w:tab/>
      </w:r>
      <w:r>
        <w:rPr>
          <w:rFonts w:ascii="Times New Roman" w:cs="Times New Roman" w:eastAsia="Times New Roman" w:hAnsi="Times New Roman"/>
          <w:sz w:val="18"/>
          <w:szCs w:val="18"/>
          <w:u w:val="single" w:color="auto"/>
          <w:color w:val="auto"/>
        </w:rPr>
        <w:t>65</w:t>
      </w:r>
    </w:p>
    <w:p>
      <w:pPr>
        <w:spacing w:after="0" w:line="239" w:lineRule="exact"/>
        <w:rPr>
          <w:sz w:val="20"/>
          <w:szCs w:val="20"/>
          <w:color w:val="auto"/>
        </w:rPr>
      </w:pPr>
    </w:p>
    <w:p>
      <w:pPr>
        <w:ind w:left="360"/>
        <w:spacing w:after="0"/>
        <w:tabs>
          <w:tab w:leader="dot" w:pos="8460" w:val="left"/>
        </w:tabs>
        <w:rPr>
          <w:sz w:val="20"/>
          <w:szCs w:val="20"/>
          <w:color w:val="auto"/>
        </w:rPr>
      </w:pPr>
      <w:r>
        <w:rPr>
          <w:rFonts w:ascii="Times New Roman" w:cs="Times New Roman" w:eastAsia="Times New Roman" w:hAnsi="Times New Roman"/>
          <w:sz w:val="18"/>
          <w:szCs w:val="18"/>
          <w:u w:val="single" w:color="auto"/>
          <w:color w:val="auto"/>
        </w:rPr>
        <w:t>OTHER MATTERS</w:t>
      </w:r>
      <w:r>
        <w:rPr>
          <w:sz w:val="20"/>
          <w:szCs w:val="20"/>
          <w:color w:val="auto"/>
        </w:rPr>
        <w:tab/>
      </w:r>
      <w:r>
        <w:rPr>
          <w:rFonts w:ascii="Times New Roman" w:cs="Times New Roman" w:eastAsia="Times New Roman" w:hAnsi="Times New Roman"/>
          <w:sz w:val="18"/>
          <w:szCs w:val="18"/>
          <w:u w:val="single" w:color="auto"/>
          <w:color w:val="auto"/>
        </w:rPr>
        <w:t>66</w:t>
      </w:r>
    </w:p>
    <w:p>
      <w:pPr>
        <w:spacing w:after="0" w:line="239" w:lineRule="exact"/>
        <w:rPr>
          <w:sz w:val="20"/>
          <w:szCs w:val="20"/>
          <w:color w:val="auto"/>
        </w:rPr>
      </w:pPr>
    </w:p>
    <w:p>
      <w:pPr>
        <w:ind w:left="360"/>
        <w:spacing w:after="0"/>
        <w:tabs>
          <w:tab w:leader="dot" w:pos="8360" w:val="left"/>
        </w:tabs>
        <w:rPr>
          <w:sz w:val="20"/>
          <w:szCs w:val="20"/>
          <w:color w:val="auto"/>
        </w:rPr>
      </w:pPr>
      <w:r>
        <w:rPr>
          <w:rFonts w:ascii="Times New Roman" w:cs="Times New Roman" w:eastAsia="Times New Roman" w:hAnsi="Times New Roman"/>
          <w:sz w:val="18"/>
          <w:szCs w:val="18"/>
          <w:u w:val="single" w:color="auto"/>
          <w:color w:val="auto"/>
        </w:rPr>
        <w:t>APPENDIX A</w:t>
      </w:r>
      <w:r>
        <w:rPr>
          <w:sz w:val="20"/>
          <w:szCs w:val="20"/>
          <w:color w:val="auto"/>
        </w:rPr>
        <w:tab/>
      </w:r>
      <w:r>
        <w:rPr>
          <w:rFonts w:ascii="Times New Roman" w:cs="Times New Roman" w:eastAsia="Times New Roman" w:hAnsi="Times New Roman"/>
          <w:sz w:val="17"/>
          <w:szCs w:val="17"/>
          <w:u w:val="single" w:color="auto"/>
          <w:color w:val="auto"/>
        </w:rPr>
        <w:t>A-1</w:t>
      </w:r>
    </w:p>
    <w:p>
      <w:pPr>
        <w:sectPr>
          <w:pgSz w:w="11900" w:h="16838" w:orient="portrait"/>
          <w:cols w:equalWidth="0" w:num="1">
            <w:col w:w="9019"/>
          </w:cols>
          <w:pgMar w:left="1440" w:top="1002"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Root,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 E. Rich Street, Suite 500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Columbus, Ohio 43215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(866) 980-9431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FF5715"/>
        </w:rPr>
        <w:t>PROXY STATEMENT</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FF5715"/>
        </w:rPr>
        <w:t>FOR THE 2026 ANNUAL MEETING OF STOCKHOLDERS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3, 2026 at 11:00 a.m. Eastern Daylight Time</w:t>
      </w:r>
    </w:p>
    <w:p>
      <w:pPr>
        <w:spacing w:after="0" w:line="22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is soliciting your proxy to vote at the 2026 Annual Meeting of Stockholders (the “Annual Meeting”) of Root, Inc., a Delaware corporation, to be held virtually, via live webcast at www.virtualshareholdermeeting.com/ROOT2026, originating from Columbus, Ohio, on Wednesday, June 3, 2026 , at 11:00 a.m. Eastern Daylight Time and any adjournment or postponement thereof. We believe hosting a virtual meeting enables participation by more of our stockholders, while lowering the cost of conducting the meeting. Stockholders attending the virtual meeting may participate and vote online during the virtual meeting.</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Annual Meeting, we have elected to furnish our proxy materials, including this proxy statement (the “Proxy</w:t>
      </w:r>
    </w:p>
    <w:p>
      <w:pPr>
        <w:spacing w:after="0" w:line="27" w:lineRule="exact"/>
        <w:rPr>
          <w:sz w:val="20"/>
          <w:szCs w:val="20"/>
          <w:color w:val="auto"/>
        </w:rPr>
      </w:pPr>
    </w:p>
    <w:p>
      <w:pPr>
        <w:ind w:left="300" w:right="379"/>
        <w:spacing w:after="0" w:line="250" w:lineRule="auto"/>
        <w:rPr>
          <w:sz w:val="20"/>
          <w:szCs w:val="20"/>
          <w:color w:val="auto"/>
        </w:rPr>
      </w:pPr>
      <w:r>
        <w:rPr>
          <w:rFonts w:ascii="Times New Roman" w:cs="Times New Roman" w:eastAsia="Times New Roman" w:hAnsi="Times New Roman"/>
          <w:sz w:val="18"/>
          <w:szCs w:val="18"/>
          <w:color w:val="auto"/>
        </w:rPr>
        <w:t>Statement”) and our Annual Report on Form 10-K for the fiscal year ended December 31, 2025 (the “Annual Report”), to our stockholders primarily via the internet. On or about April 24, 2026 , we expect to mail to our</w:t>
      </w:r>
    </w:p>
    <w:p>
      <w:pPr>
        <w:spacing w:after="0" w:line="1"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 xml:space="preserve">stockholders a </w:t>
      </w:r>
      <w:r>
        <w:rPr>
          <w:rFonts w:ascii="Times New Roman" w:cs="Times New Roman" w:eastAsia="Times New Roman" w:hAnsi="Times New Roman"/>
          <w:sz w:val="18"/>
          <w:szCs w:val="18"/>
          <w:i w:val="1"/>
          <w:iCs w:val="1"/>
          <w:color w:val="auto"/>
        </w:rPr>
        <w:t>Notice of Internet Availability of Proxy Materials</w:t>
      </w:r>
      <w:r>
        <w:rPr>
          <w:rFonts w:ascii="Times New Roman" w:cs="Times New Roman" w:eastAsia="Times New Roman" w:hAnsi="Times New Roman"/>
          <w:sz w:val="18"/>
          <w:szCs w:val="18"/>
          <w:color w:val="auto"/>
        </w:rPr>
        <w:t xml:space="preserve"> (the “Notice”) that contains notice of the Annual Meeting and instructions on how to access our proxy materials on the internet, how to vote at the Annual Meeting and how to request printed copies of the proxy materials. Stockholders may request to receive all future materials in printed form by mail or by email by following the instructions contained in the Notice. A stockholder’s election to receive proxy materials by mail or email will remain in effect until revoked. We encourage stockholders to take advantage of the availability of the proxy materials on the internet to help reduce the environmental impact and cost of our Annual Meeting.</w:t>
      </w:r>
    </w:p>
    <w:p>
      <w:pPr>
        <w:spacing w:after="0" w:line="188"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Only stockholders of record at the close of business on April 6, 2026 (the “Record Date”) will be entitled to vote at the Annual Meeting. On the Record Date, there were 14,015,900 shares of Class A common stock, 1,806,236 shares of Class B common stock and 14,053,096 shares of Series A Convertible Preferred Stock (the “Series A preferred stock”) outstanding and entitled to vote. </w:t>
      </w:r>
      <w:r>
        <w:rPr>
          <w:rFonts w:ascii="Times New Roman" w:cs="Times New Roman" w:eastAsia="Times New Roman" w:hAnsi="Times New Roman"/>
          <w:sz w:val="18"/>
          <w:szCs w:val="18"/>
          <w:b w:val="1"/>
          <w:bCs w:val="1"/>
          <w:color w:val="auto"/>
        </w:rPr>
        <w:t>Each holder of Class A common stock will have the right to one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 share of Class A common stock and each holder of Class B common stock will have the right to 10 votes per share of Class B common stock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holder of the Series A preferred stock is entitled to vote with the holders of Class A common stock and will have the right to one vote per each share of Class A common stock</w:t>
      </w:r>
    </w:p>
    <w:p>
      <w:pPr>
        <w:spacing w:after="0" w:line="3"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into which the Series A preferred stock is convertible, or 780,727 votes. </w:t>
      </w:r>
      <w:r>
        <w:rPr>
          <w:rFonts w:ascii="Times New Roman" w:cs="Times New Roman" w:eastAsia="Times New Roman" w:hAnsi="Times New Roman"/>
          <w:sz w:val="18"/>
          <w:szCs w:val="18"/>
          <w:color w:val="auto"/>
        </w:rPr>
        <w:t>The holders of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Class B common stock and Series A preferred stock will vote together as a single class on all matters submitted to a vote at the Annual Meeting. A list of stockholders entitled to vote at the Annual Meeting will be available for examination for 10 days before the Annual Meeting at our address above. If you would like to view the list, please contact our Secretary at proxy@joinroot.com to schedule an appointment. The stockholder list will also be available online during the Annual Meeting. For instructions on how to attend the Annual Meeting, please see the instructions at www.virtualshareholdermeeting.com/ROOT2026 and on page 2 of this Proxy Statement. </w:t>
      </w:r>
      <w:r>
        <w:rPr>
          <w:rFonts w:ascii="Times New Roman" w:cs="Times New Roman" w:eastAsia="Times New Roman" w:hAnsi="Times New Roman"/>
          <w:sz w:val="18"/>
          <w:szCs w:val="18"/>
          <w:b w:val="1"/>
          <w:bCs w:val="1"/>
          <w:color w:val="auto"/>
        </w:rPr>
        <w:t>You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 be able to attend the Annual Meeting in person.</w:t>
      </w:r>
    </w:p>
    <w:p>
      <w:pPr>
        <w:spacing w:after="0" w:line="194" w:lineRule="exact"/>
        <w:rPr>
          <w:sz w:val="20"/>
          <w:szCs w:val="20"/>
          <w:color w:val="auto"/>
        </w:rPr>
      </w:pPr>
    </w:p>
    <w:p>
      <w:pPr>
        <w:jc w:val="both"/>
        <w:ind w:left="300" w:right="339"/>
        <w:spacing w:after="0" w:line="261" w:lineRule="auto"/>
        <w:rPr>
          <w:sz w:val="20"/>
          <w:szCs w:val="20"/>
          <w:color w:val="auto"/>
        </w:rPr>
      </w:pPr>
      <w:r>
        <w:rPr>
          <w:rFonts w:ascii="Times New Roman" w:cs="Times New Roman" w:eastAsia="Times New Roman" w:hAnsi="Times New Roman"/>
          <w:sz w:val="18"/>
          <w:szCs w:val="18"/>
          <w:color w:val="auto"/>
        </w:rPr>
        <w:t>In this Proxy Statement, we refer to Root, Inc. as “Root,” the “Company,” “we” or “us” and the board of directors of Root as the, or our, “board of directors.” The Annual Report, which contains consolidated financial statements as of and for the fiscal year ended December 31, 2025, accompanies this Proxy Statement. You also may obtain a copy of the Annual Report without charge by emailing proxy@joinroot.com.</w:t>
      </w:r>
    </w:p>
    <w:p>
      <w:pPr>
        <w:sectPr>
          <w:pgSz w:w="11900" w:h="16838" w:orient="portrait"/>
          <w:cols w:equalWidth="0" w:num="1">
            <w:col w:w="9019"/>
          </w:cols>
          <w:pgMar w:left="1440" w:top="1440" w:right="1440" w:bottom="1440" w:gutter="0" w:footer="0" w:header="0"/>
        </w:sectPr>
      </w:pPr>
    </w:p>
    <w:bookmarkStart w:id="6" w:name="page7"/>
    <w:bookmarkEnd w:id="6"/>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FF5715"/>
        </w:rPr>
        <w:t>QUESTIONS AND ANSWERS ABOUT THESE</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t>PROXY MATERIALS AND VOTING</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the Notice because our board of directors is soliciting your proxy to vote at the Annual Meeting,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April 24, 2026, to all stockholders of record entitled to vote at the Annual Meeting.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2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Annual Meeting will be held solely in a virtual format, which will be conducted via a live webcast. We have created and implemented the virtual format in order to facilitate stockholder attendance and participation by enabling stockholders to participate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Root and our stockholders time and money. We also believe that the online tools we have selected will increase stockholder communication. For example, the virtual format allows stockholders to communicate with us in advance of, and during, the Annual Meeting so they can ask us questions.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2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(1) you request a printed copy of the proxy materials in accordance with the instructions set forth in the Notice or (2) we elect, in our discretion, to send you a proxy card and a second Notice, which we may send after 10 calendar days have passed since our first mailing of the Notice.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Annual Meeting?</w:t>
      </w:r>
    </w:p>
    <w:p>
      <w:pPr>
        <w:spacing w:after="0" w:line="229" w:lineRule="exact"/>
        <w:rPr>
          <w:sz w:val="20"/>
          <w:szCs w:val="20"/>
          <w:color w:val="auto"/>
        </w:rPr>
      </w:pPr>
    </w:p>
    <w:p>
      <w:pPr>
        <w:jc w:val="both"/>
        <w:ind w:left="300" w:right="479"/>
        <w:spacing w:after="0" w:line="261"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Any stockholder can attend the Annual Meeting live online at www.virtualshareholdermeeting.com/ROOT2026. The meeting will start at 11:00 a.m. Eastern Daylight Time, on Wednesday, June 3, 2026 . Stockholders attending the Annual Meeting may participate and vote online during the virtual meeting.</w:t>
      </w:r>
    </w:p>
    <w:p>
      <w:pPr>
        <w:spacing w:after="0" w:line="18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order to enter the Annual Meeting, you will need the control number, which is included in the Notice or on your proxy card if you are a stockholder of record of shares of Class A common stock, Class B common stock or Series A preferred stock, or included with your voting instruction card and voting instructions received from your broker, bank or other agent if you hold your shares in “street name.” Instructions on how to attend and participate are available at www.virtualshareholdermeeting.com/ROOT2026. We recommend that you log in a few minutes before 11:00 a.m. Eastern Daylight Time on June 3, 2026 to ensure you are logged in when the Annual Meeting starts. The webcast will open 15 minutes before the start of the Annual Meeting.</w:t>
      </w:r>
    </w:p>
    <w:p>
      <w:pPr>
        <w:spacing w:after="0" w:line="189"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www.virtualshareholdermeeting.com/ROOT2026 using your control number, type your question into the “Ask a Question” field and click “Submit.”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440" w:right="1440" w:bottom="1440" w:gutter="0" w:footer="0" w:header="0"/>
          <w:type w:val="continuous"/>
        </w:sectPr>
      </w:pPr>
    </w:p>
    <w:bookmarkStart w:id="7" w:name="page8"/>
    <w:bookmarkEnd w:id="7"/>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176" w:lineRule="exact"/>
        <w:rPr>
          <w:sz w:val="20"/>
          <w:szCs w:val="20"/>
          <w:color w:val="auto"/>
        </w:rPr>
      </w:pPr>
    </w:p>
    <w:p>
      <w:pPr>
        <w:ind w:left="620" w:hanging="32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during the Annual Meeting.</w:t>
      </w:r>
    </w:p>
    <w:p>
      <w:pPr>
        <w:spacing w:after="0" w:line="225" w:lineRule="exact"/>
        <w:rPr>
          <w:rFonts w:ascii="Times New Roman" w:cs="Times New Roman" w:eastAsia="Times New Roman" w:hAnsi="Times New Roman"/>
          <w:sz w:val="18"/>
          <w:szCs w:val="18"/>
          <w:color w:val="auto"/>
        </w:rPr>
      </w:pPr>
    </w:p>
    <w:p>
      <w:pPr>
        <w:ind w:left="620" w:right="439" w:hanging="32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w:t>
      </w:r>
    </w:p>
    <w:p>
      <w:pPr>
        <w:spacing w:after="0" w:line="16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Alexander Timm, our Chief Executive Officer (“CEO”).</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your remarks to one brief question or comment that is relevant to the Annual Meeting and/or our business.</w:t>
      </w:r>
    </w:p>
    <w:p>
      <w:pPr>
        <w:spacing w:after="0" w:line="236" w:lineRule="exact"/>
        <w:rPr>
          <w:rFonts w:ascii="Times New Roman" w:cs="Times New Roman" w:eastAsia="Times New Roman" w:hAnsi="Times New Roman"/>
          <w:sz w:val="17"/>
          <w:szCs w:val="17"/>
          <w:color w:val="auto"/>
        </w:rPr>
      </w:pPr>
    </w:p>
    <w:p>
      <w:pPr>
        <w:ind w:left="620" w:hanging="32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225" w:lineRule="exact"/>
        <w:rPr>
          <w:rFonts w:ascii="Times New Roman" w:cs="Times New Roman" w:eastAsia="Times New Roman" w:hAnsi="Times New Roman"/>
          <w:sz w:val="18"/>
          <w:szCs w:val="18"/>
          <w:color w:val="auto"/>
        </w:rPr>
      </w:pPr>
    </w:p>
    <w:p>
      <w:pPr>
        <w:ind w:left="620" w:right="359" w:hanging="328"/>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17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Annual Meeting participants.</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Annual Meeting?</w:t>
      </w:r>
    </w:p>
    <w:p>
      <w:pPr>
        <w:spacing w:after="0" w:line="229"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18"/>
          <w:szCs w:val="18"/>
          <w:color w:val="auto"/>
        </w:rPr>
        <w:t>We will have a toll-free technical support “help line” ready to assist you with any technical difficulties you may have accessing the Annual Meeting. If you encounter any difficulties accessing the Annual Meeting during the check-in or meeting time, please call the technical support number that will be posted at www.virtualshareholdermeeting.com/ROOT2026. Technical support will be available starting 15 minutes before 11:00 a.m. Eastern Daylight Time on June 3, 2026.</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April 6, 2026, will be entitled to vote at the Annual Meeting. On the Record Date, there were 14,015,900 shares of Class A common stock and 1,806,236 shares of Class B common stock. The holder of the outstanding shares of Series A preferred stock is entitled to 780,727 votes.</w:t>
      </w:r>
    </w:p>
    <w:p>
      <w:pPr>
        <w:spacing w:after="0" w:line="176" w:lineRule="exact"/>
        <w:rPr>
          <w:sz w:val="20"/>
          <w:szCs w:val="20"/>
          <w:color w:val="auto"/>
        </w:rPr>
      </w:pPr>
    </w:p>
    <w:p>
      <w:pPr>
        <w:ind w:left="620" w:hanging="328"/>
        <w:spacing w:after="0"/>
        <w:tabs>
          <w:tab w:leader="none" w:pos="6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 If, on the Record Date, your shares were registered</w:t>
      </w:r>
    </w:p>
    <w:p>
      <w:pPr>
        <w:spacing w:after="0" w:line="31" w:lineRule="exact"/>
        <w:rPr>
          <w:sz w:val="20"/>
          <w:szCs w:val="20"/>
          <w:color w:val="auto"/>
        </w:rPr>
      </w:pPr>
    </w:p>
    <w:p>
      <w:pPr>
        <w:ind w:left="620" w:right="379"/>
        <w:spacing w:after="0" w:line="253" w:lineRule="auto"/>
        <w:rPr>
          <w:sz w:val="20"/>
          <w:szCs w:val="20"/>
          <w:color w:val="auto"/>
        </w:rPr>
      </w:pPr>
      <w:r>
        <w:rPr>
          <w:rFonts w:ascii="Times New Roman" w:cs="Times New Roman" w:eastAsia="Times New Roman" w:hAnsi="Times New Roman"/>
          <w:sz w:val="18"/>
          <w:szCs w:val="18"/>
          <w:color w:val="auto"/>
        </w:rPr>
        <w:t>directly in your name with our transfer agent, Equiniti Trust Company, LLC ,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 that you may request or that we may elect to deliver at a later time to ensure your vote is counted.</w:t>
      </w:r>
    </w:p>
    <w:p>
      <w:pPr>
        <w:spacing w:after="0" w:line="183" w:lineRule="exact"/>
        <w:rPr>
          <w:sz w:val="20"/>
          <w:szCs w:val="20"/>
          <w:color w:val="auto"/>
        </w:rPr>
      </w:pPr>
    </w:p>
    <w:p>
      <w:pPr>
        <w:ind w:left="620" w:right="399" w:hanging="319"/>
        <w:spacing w:after="0" w:line="275" w:lineRule="auto"/>
        <w:tabs>
          <w:tab w:leader="none" w:pos="600" w:val="left"/>
        </w:tabs>
        <w:rPr>
          <w:sz w:val="20"/>
          <w:szCs w:val="20"/>
          <w:color w:val="auto"/>
        </w:rPr>
      </w:pPr>
      <w:r>
        <w:rPr>
          <w:rFonts w:ascii="Times New Roman" w:cs="Times New Roman" w:eastAsia="Times New Roman" w:hAnsi="Times New Roman"/>
          <w:sz w:val="17"/>
          <w:szCs w:val="17"/>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 xml:space="preserve">Beneficial Owner: Shares Registered in the Name of a Broker or Bank </w:t>
      </w:r>
      <w:r>
        <w:rPr>
          <w:rFonts w:ascii="Times New Roman" w:cs="Times New Roman" w:eastAsia="Times New Roman" w:hAnsi="Times New Roman"/>
          <w:sz w:val="17"/>
          <w:szCs w:val="17"/>
          <w:color w:val="auto"/>
        </w:rPr>
        <w:t>. If, on the Record Date, your shares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1440" w:right="1440" w:bottom="1440" w:gutter="0" w:footer="0" w:header="0"/>
          <w:type w:val="continuous"/>
        </w:sectPr>
      </w:pPr>
    </w:p>
    <w:bookmarkStart w:id="8" w:name="page9"/>
    <w:bookmarkEnd w:id="8"/>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20" w:right="679"/>
        <w:spacing w:after="0" w:line="282" w:lineRule="auto"/>
        <w:rPr>
          <w:sz w:val="20"/>
          <w:szCs w:val="20"/>
          <w:color w:val="auto"/>
        </w:rPr>
      </w:pPr>
      <w:r>
        <w:rPr>
          <w:rFonts w:ascii="Times New Roman" w:cs="Times New Roman" w:eastAsia="Times New Roman" w:hAnsi="Times New Roman"/>
          <w:sz w:val="18"/>
          <w:szCs w:val="18"/>
          <w:color w:val="auto"/>
        </w:rPr>
        <w:t>Meeting. However, since you are not the stockholder of record, you may vote your shares online during the Annual Meeting only by following the instructions from such organization.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Each holder of shares of our Class A common stock will have one vote per share of Class A common stock held as of the Record Date and each holder of shares of our Class B common stock will have 10 votes per share of Class B common stock held as of the Record Date. The holder of the Series A preferred stock is entitled to vote with the holders of Class A common stock and will have the right to one vote per each share of Class A common stock into which the Series A preferred stock is convertible, or 780,727 votes. The holders of the shares of our Class A common stock, Class B common stock and Series A preferred stock will vote as a single class on all matters described in this Proxy Statement for which your vote is being solicited.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221" w:lineRule="exact"/>
        <w:rPr>
          <w:sz w:val="20"/>
          <w:szCs w:val="20"/>
          <w:color w:val="auto"/>
        </w:rPr>
      </w:pPr>
    </w:p>
    <w:p>
      <w:pPr>
        <w:ind w:left="620" w:right="359" w:hanging="328"/>
        <w:spacing w:after="0" w:line="286"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three Class III directors, each to hold office until our annual meeting of stockholders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2029;</w:t>
      </w:r>
    </w:p>
    <w:p>
      <w:pPr>
        <w:spacing w:after="0" w:line="154" w:lineRule="exact"/>
        <w:rPr>
          <w:rFonts w:ascii="Times New Roman" w:cs="Times New Roman" w:eastAsia="Times New Roman" w:hAnsi="Times New Roman"/>
          <w:sz w:val="18"/>
          <w:szCs w:val="18"/>
          <w:color w:val="auto"/>
        </w:rPr>
      </w:pPr>
    </w:p>
    <w:p>
      <w:pPr>
        <w:ind w:left="620" w:right="519" w:hanging="328"/>
        <w:spacing w:after="0" w:line="268"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Ratification of the selection by the audit, risk and finance committee of our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Deloitte &amp; Touche LLP as our independent registered public accounting firm for the fiscal year ending December 31, 2026;</w:t>
      </w:r>
    </w:p>
    <w:p>
      <w:pPr>
        <w:spacing w:after="0" w:line="170"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Approval, on an advisory basis, of our named executive officer compensation; and</w:t>
      </w:r>
    </w:p>
    <w:p>
      <w:pPr>
        <w:spacing w:after="0" w:line="225" w:lineRule="exact"/>
        <w:rPr>
          <w:rFonts w:ascii="Times New Roman" w:cs="Times New Roman" w:eastAsia="Times New Roman" w:hAnsi="Times New Roman"/>
          <w:sz w:val="18"/>
          <w:szCs w:val="18"/>
          <w:color w:val="auto"/>
        </w:rPr>
      </w:pPr>
    </w:p>
    <w:p>
      <w:pPr>
        <w:ind w:left="620" w:right="399" w:hanging="328"/>
        <w:spacing w:after="0" w:line="286"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Approval of an amendment to the Company’s Amended and Restated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to allow for exculpation of certain officers.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2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ind w:left="620" w:hanging="32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you are a stockholder of record, you may vote</w:t>
      </w:r>
    </w:p>
    <w:p>
      <w:pPr>
        <w:spacing w:after="0" w:line="31" w:lineRule="exact"/>
        <w:rPr>
          <w:rFonts w:ascii="Times New Roman" w:cs="Times New Roman" w:eastAsia="Times New Roman" w:hAnsi="Times New Roman"/>
          <w:sz w:val="18"/>
          <w:szCs w:val="18"/>
          <w:color w:val="auto"/>
        </w:rPr>
      </w:pPr>
    </w:p>
    <w:p>
      <w:pPr>
        <w:jc w:val="both"/>
        <w:ind w:left="620" w:right="319" w:hanging="4"/>
        <w:spacing w:after="0" w:line="253" w:lineRule="auto"/>
        <w:tabs>
          <w:tab w:leader="none" w:pos="8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during the Annual Meeting or (2)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188" w:lineRule="exact"/>
        <w:rPr>
          <w:rFonts w:ascii="Times New Roman" w:cs="Times New Roman" w:eastAsia="Times New Roman" w:hAnsi="Times New Roman"/>
          <w:sz w:val="18"/>
          <w:szCs w:val="18"/>
          <w:color w:val="auto"/>
        </w:rPr>
      </w:pPr>
    </w:p>
    <w:p>
      <w:pPr>
        <w:ind w:left="1260" w:right="339" w:hanging="320"/>
        <w:spacing w:after="0" w:line="289" w:lineRule="auto"/>
        <w:tabs>
          <w:tab w:leader="none" w:pos="126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online during the Annual Meeting, follow the instructions provided to join the Annual Meeting at www.virtualshareholdermeeting.com/ROOT2026, starting at 11:00 a.m. Eastern Daylight Time on Wednesday, June 3, 2026. The webcast will open 15 minutes before the start of the Annual Meeting.</w:t>
      </w:r>
    </w:p>
    <w:p>
      <w:pPr>
        <w:spacing w:after="0" w:line="156" w:lineRule="exact"/>
        <w:rPr>
          <w:sz w:val="20"/>
          <w:szCs w:val="20"/>
          <w:color w:val="auto"/>
        </w:rPr>
      </w:pPr>
    </w:p>
    <w:p>
      <w:pPr>
        <w:ind w:left="1260" w:right="319" w:hanging="319"/>
        <w:spacing w:after="0" w:line="261" w:lineRule="auto"/>
        <w:tabs>
          <w:tab w:leader="none" w:pos="1240" w:val="left"/>
        </w:tabs>
        <w:rPr>
          <w:sz w:val="20"/>
          <w:szCs w:val="20"/>
          <w:color w:val="auto"/>
        </w:rPr>
      </w:pPr>
      <w:r>
        <w:rPr>
          <w:rFonts w:ascii="Times New Roman" w:cs="Times New Roman" w:eastAsia="Times New Roman" w:hAnsi="Times New Roman"/>
          <w:sz w:val="18"/>
          <w:szCs w:val="18"/>
          <w:color w:val="auto"/>
        </w:rPr>
        <w:t>•</w:t>
        <w:tab/>
        <w:t xml:space="preserve">To vote in advance of the Annual Meeting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control number from the Notice or the printed proxy card. Your internet vote must be received by 11:59 p.m. Eastern Daylight Time on Tuesday, June 2, 2026, to be counted.</w:t>
      </w:r>
    </w:p>
    <w:p>
      <w:pPr>
        <w:spacing w:after="0" w:line="182" w:lineRule="exact"/>
        <w:rPr>
          <w:sz w:val="20"/>
          <w:szCs w:val="20"/>
          <w:color w:val="auto"/>
        </w:rPr>
      </w:pPr>
    </w:p>
    <w:p>
      <w:pPr>
        <w:ind w:left="1260" w:right="439" w:hanging="320"/>
        <w:spacing w:after="0" w:line="312"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in advance of the Annual Meeting by telephone, dial 1-800-690-6903 using a touch-tone phone and follow the recorded instructions. You will be asked to provide the control number from the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440" w:right="1440" w:bottom="1440" w:gutter="0" w:footer="0" w:header="0"/>
          <w:type w:val="continuous"/>
        </w:sectPr>
      </w:pPr>
    </w:p>
    <w:bookmarkStart w:id="9" w:name="page10"/>
    <w:bookmarkEnd w:id="9"/>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1260" w:right="339"/>
        <w:spacing w:after="0" w:line="282" w:lineRule="auto"/>
        <w:rPr>
          <w:sz w:val="20"/>
          <w:szCs w:val="20"/>
          <w:color w:val="auto"/>
        </w:rPr>
      </w:pPr>
      <w:r>
        <w:rPr>
          <w:rFonts w:ascii="Times New Roman" w:cs="Times New Roman" w:eastAsia="Times New Roman" w:hAnsi="Times New Roman"/>
          <w:sz w:val="18"/>
          <w:szCs w:val="18"/>
          <w:color w:val="auto"/>
        </w:rPr>
        <w:t>Notice or the printed proxy card. Your telephone vote must be received by 11:59 p.m. Eastern Daylight Time on Tuesday, June 2, 2026, to be counted.</w:t>
      </w:r>
    </w:p>
    <w:p>
      <w:pPr>
        <w:spacing w:after="0" w:line="162" w:lineRule="exact"/>
        <w:rPr>
          <w:sz w:val="20"/>
          <w:szCs w:val="20"/>
          <w:color w:val="auto"/>
        </w:rPr>
      </w:pPr>
    </w:p>
    <w:p>
      <w:pPr>
        <w:ind w:left="1260" w:right="339" w:hanging="320"/>
        <w:spacing w:after="0" w:line="261" w:lineRule="auto"/>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advance of the Annual Meeting using a printed proxy card, which you may request or we may elect to deliver to you, simply complete, sign and date the proxy card and return it promptly in the envelope provided. If you return your signed proxy card to us before the Annual Meeting, we will vote your shares as you direct.</w:t>
      </w:r>
    </w:p>
    <w:p>
      <w:pPr>
        <w:spacing w:after="0" w:line="175" w:lineRule="exact"/>
        <w:rPr>
          <w:rFonts w:ascii="Times New Roman" w:cs="Times New Roman" w:eastAsia="Times New Roman" w:hAnsi="Times New Roman"/>
          <w:sz w:val="18"/>
          <w:szCs w:val="18"/>
          <w:color w:val="auto"/>
        </w:rPr>
      </w:pPr>
    </w:p>
    <w:p>
      <w:pPr>
        <w:ind w:left="620" w:right="359" w:hanging="328"/>
        <w:spacing w:after="0" w:line="259"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Broker or Bank. </w:t>
      </w:r>
      <w:r>
        <w:rPr>
          <w:rFonts w:ascii="Times New Roman" w:cs="Times New Roman" w:eastAsia="Times New Roman" w:hAnsi="Times New Roman"/>
          <w:sz w:val="18"/>
          <w:szCs w:val="18"/>
          <w:color w:val="auto"/>
        </w:rPr>
        <w:t>If you are a beneficial owner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in the name of your broker, bank or other agent, you should receive a Notice containing voting instructions from that organization rather than from us. Simply follow the voting instructions in the Notice to ensure that your vote is counted. To vote online during the Annual Meeting, you must follow the instructions from your broker, bank or other agent.</w:t>
      </w:r>
    </w:p>
    <w:p>
      <w:pPr>
        <w:spacing w:after="0" w:line="260" w:lineRule="exact"/>
        <w:rPr>
          <w:sz w:val="20"/>
          <w:szCs w:val="20"/>
          <w:color w:val="auto"/>
        </w:rPr>
      </w:pPr>
    </w:p>
    <w:p>
      <w:pPr>
        <w:ind w:left="360" w:right="359"/>
        <w:spacing w:after="0" w:line="268" w:lineRule="auto"/>
        <w:rPr>
          <w:sz w:val="20"/>
          <w:szCs w:val="20"/>
          <w:color w:val="auto"/>
        </w:rPr>
      </w:pPr>
      <w:r>
        <w:rPr>
          <w:rFonts w:ascii="Times New Roman" w:cs="Times New Roman" w:eastAsia="Times New Roman" w:hAnsi="Times New Roman"/>
          <w:sz w:val="18"/>
          <w:szCs w:val="18"/>
          <w:b w:val="1"/>
          <w:bCs w:val="1"/>
          <w:color w:val="auto"/>
        </w:rPr>
        <w:t>Internet voting during the Annual Meeting and/or internet proxy voting in advance of the Annual Meeting allows you to vote your shares online, with procedures designed to ensure the authenticity and correctness of your vote instructions. Please be aware that you must bear any costs associated with your internet access.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2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Notice provides instructions on how to vote by proxy in advance of the Annual Meeting through the internet, by telephone, using a printed proxy card or online during the Annual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follow the voting instructions on the Notice to ensure that all of your shares are voted.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5" w:lineRule="exact"/>
        <w:rPr>
          <w:sz w:val="20"/>
          <w:szCs w:val="20"/>
          <w:color w:val="auto"/>
        </w:rPr>
      </w:pPr>
    </w:p>
    <w:p>
      <w:pPr>
        <w:ind w:left="620" w:right="339" w:hanging="328"/>
        <w:spacing w:after="0" w:line="268"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you are a stockholder of record, then yes, you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revoke your proxy at any time before the final vote at the Annual Meeting. You may revoke your proxy in any one of the following ways:</w:t>
      </w:r>
    </w:p>
    <w:p>
      <w:pPr>
        <w:spacing w:after="0" w:line="174"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225"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225" w:lineRule="exact"/>
        <w:rPr>
          <w:rFonts w:ascii="Times New Roman" w:cs="Times New Roman" w:eastAsia="Times New Roman" w:hAnsi="Times New Roman"/>
          <w:sz w:val="18"/>
          <w:szCs w:val="18"/>
          <w:color w:val="auto"/>
        </w:rPr>
      </w:pPr>
    </w:p>
    <w:p>
      <w:pPr>
        <w:ind w:left="1260" w:right="1239" w:hanging="320"/>
        <w:spacing w:after="0" w:line="282" w:lineRule="auto"/>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timely written notice that you are revoking your proxy to our Secretary via email at proxy@joinroot.com.</w:t>
      </w:r>
    </w:p>
    <w:p>
      <w:pPr>
        <w:spacing w:after="0" w:line="162" w:lineRule="exact"/>
        <w:rPr>
          <w:sz w:val="20"/>
          <w:szCs w:val="20"/>
          <w:color w:val="auto"/>
        </w:rPr>
      </w:pPr>
    </w:p>
    <w:p>
      <w:pPr>
        <w:ind w:left="1260" w:right="359" w:hanging="319"/>
        <w:spacing w:after="0" w:line="258" w:lineRule="auto"/>
        <w:tabs>
          <w:tab w:leader="none" w:pos="1240" w:val="left"/>
        </w:tabs>
        <w:rPr>
          <w:sz w:val="20"/>
          <w:szCs w:val="20"/>
          <w:color w:val="auto"/>
        </w:rPr>
      </w:pPr>
      <w:r>
        <w:rPr>
          <w:rFonts w:ascii="Times New Roman" w:cs="Times New Roman" w:eastAsia="Times New Roman" w:hAnsi="Times New Roman"/>
          <w:sz w:val="18"/>
          <w:szCs w:val="18"/>
          <w:color w:val="auto"/>
        </w:rPr>
        <w:t>•</w:t>
        <w:tab/>
        <w:t>Attend the Annual Meeting by visiting www.virtualshareholdermeeting.com/ROOT2026 and vote online during the meeting. Simply attending the Annual Meeting will not, by itself,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Your most current proxy card or telephone or internet proxy is the one that is counted.</w:t>
      </w:r>
    </w:p>
    <w:p>
      <w:pPr>
        <w:spacing w:after="0" w:line="225" w:lineRule="exact"/>
        <w:rPr>
          <w:sz w:val="20"/>
          <w:szCs w:val="20"/>
          <w:color w:val="auto"/>
        </w:rPr>
      </w:pPr>
    </w:p>
    <w:p>
      <w:pPr>
        <w:ind w:left="620" w:right="359" w:hanging="328"/>
        <w:spacing w:after="0" w:line="268"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Broker or Bank. </w:t>
      </w:r>
      <w:r>
        <w:rPr>
          <w:rFonts w:ascii="Times New Roman" w:cs="Times New Roman" w:eastAsia="Times New Roman" w:hAnsi="Times New Roman"/>
          <w:sz w:val="18"/>
          <w:szCs w:val="18"/>
          <w:color w:val="auto"/>
        </w:rPr>
        <w:t>If you are a beneficial owner and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held in “street name” by your broker, bank or other agent, you should follow the instructions provided by your broker, bank or other agent.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1440" w:right="1440" w:bottom="1440" w:gutter="0" w:footer="0" w:header="0"/>
          <w:type w:val="continuous"/>
        </w:sectPr>
      </w:pPr>
    </w:p>
    <w:bookmarkStart w:id="10" w:name="page11"/>
    <w:bookmarkEnd w:id="10"/>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15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through the internet, by telephone, by completing the proxy card that may be delivered to you or online during the Annual Meeting, your shares will not be voted.</w:t>
      </w:r>
    </w:p>
    <w:p>
      <w:pPr>
        <w:spacing w:after="0" w:line="162" w:lineRule="exact"/>
        <w:rPr>
          <w:sz w:val="20"/>
          <w:szCs w:val="20"/>
          <w:color w:val="auto"/>
        </w:rPr>
      </w:pPr>
    </w:p>
    <w:p>
      <w:pPr>
        <w:ind w:left="300" w:right="299"/>
        <w:spacing w:after="0" w:line="243" w:lineRule="auto"/>
        <w:rPr>
          <w:sz w:val="20"/>
          <w:szCs w:val="20"/>
          <w:color w:val="auto"/>
        </w:rPr>
      </w:pPr>
      <w:r>
        <w:rPr>
          <w:rFonts w:ascii="Times New Roman" w:cs="Times New Roman" w:eastAsia="Times New Roman" w:hAnsi="Times New Roman"/>
          <w:sz w:val="18"/>
          <w:szCs w:val="18"/>
          <w:color w:val="auto"/>
        </w:rPr>
        <w:t xml:space="preserve">If you return a signed and dated proxy card or otherwise vote without marking voting selections, your shares will be voted in accordance with the recommendations of our board of directors: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three nominees for director,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Deloitte &amp; Touche LLP as our independent registered public accounting firm for the fiscal year ending December 31, 2026,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on an advisory basis, of our named executive officer compensation, and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the Company’s Amended and Restated Certificate of Incorporation, as amended, to allow for exculpation of certain officers . If any other matter is properly presented at the Annual Meeting, your proxyholder (one of the individuals named on your proxy card) will vote your shares using his or her best judgment.</w:t>
      </w:r>
    </w:p>
    <w:p>
      <w:pPr>
        <w:spacing w:after="0" w:line="196"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bank or other agent with voting instructions, what happens?</w:t>
      </w:r>
    </w:p>
    <w:p>
      <w:pPr>
        <w:spacing w:after="0" w:line="15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 supported. Accordingly, your broker or nominee may vote your shares on Proposal 2 without your instructions. Your broker or nominee, however, may not vote your shares on Proposals 1, 3 or 4 without your instructions. Such an event would result in a “broker non-vote” and these shares will not be counted as having been voted on Proposals 1, 3 or 4. Please instruct your bank, broker or other agent to ensure that your vote will be counted.</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w:t>
      </w:r>
    </w:p>
    <w:p>
      <w:pPr>
        <w:spacing w:after="0" w:line="172" w:lineRule="exact"/>
        <w:rPr>
          <w:sz w:val="20"/>
          <w:szCs w:val="20"/>
          <w:color w:val="auto"/>
        </w:rPr>
      </w:pPr>
    </w:p>
    <w:p>
      <w:pPr>
        <w:jc w:val="both"/>
        <w:ind w:left="30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such organization.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ind w:left="300" w:right="359"/>
        <w:spacing w:after="0" w:line="244" w:lineRule="auto"/>
        <w:rPr>
          <w:sz w:val="20"/>
          <w:szCs w:val="20"/>
          <w:color w:val="auto"/>
        </w:rPr>
      </w:pPr>
      <w:r>
        <w:rPr>
          <w:rFonts w:ascii="Times New Roman" w:cs="Times New Roman" w:eastAsia="Times New Roman" w:hAnsi="Times New Roman"/>
          <w:sz w:val="18"/>
          <w:szCs w:val="18"/>
          <w:color w:val="auto"/>
        </w:rPr>
        <w:t xml:space="preserve">Votes will be counted by the inspector of election appointed for the Annual Meeting, who will separately count, for the proposal to elect directors, votes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abstentions and broker non-votes; with respect to the proposal to ratify the selection of Deloitte &amp; Touche LLP as our independent registered public accounting firm for the fiscal year ending December 31, 2026 , votes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or “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and abstentions; with respect to the</w:t>
      </w:r>
    </w:p>
    <w:p>
      <w:pPr>
        <w:ind w:left="300"/>
        <w:spacing w:after="0" w:line="236" w:lineRule="auto"/>
        <w:tabs>
          <w:tab w:leader="none" w:pos="7960" w:val="left"/>
        </w:tabs>
        <w:rPr>
          <w:sz w:val="20"/>
          <w:szCs w:val="20"/>
          <w:color w:val="auto"/>
        </w:rPr>
      </w:pPr>
      <w:r>
        <w:rPr>
          <w:rFonts w:ascii="Times New Roman" w:cs="Times New Roman" w:eastAsia="Times New Roman" w:hAnsi="Times New Roman"/>
          <w:sz w:val="18"/>
          <w:szCs w:val="18"/>
          <w:color w:val="auto"/>
        </w:rPr>
        <w:t>proposal to approve, on an advisory basis, our named executive officer compensation, votes “</w:t>
      </w:r>
      <w:r>
        <w:rPr>
          <w:sz w:val="20"/>
          <w:szCs w:val="20"/>
          <w:color w:val="auto"/>
        </w:rPr>
        <w:tab/>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ind w:left="300"/>
        <w:spacing w:after="0"/>
        <w:tabs>
          <w:tab w:leader="none" w:pos="74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abstentions and broker non-votes; and with respect to the proposal for approval of</w:t>
      </w:r>
      <w:r>
        <w:rPr>
          <w:sz w:val="20"/>
          <w:szCs w:val="20"/>
          <w:color w:val="auto"/>
        </w:rPr>
        <w:tab/>
      </w:r>
      <w:r>
        <w:rPr>
          <w:rFonts w:ascii="Times New Roman" w:cs="Times New Roman" w:eastAsia="Times New Roman" w:hAnsi="Times New Roman"/>
          <w:sz w:val="17"/>
          <w:szCs w:val="17"/>
          <w:color w:val="auto"/>
        </w:rPr>
        <w:t>an amendment to</w:t>
      </w:r>
    </w:p>
    <w:p>
      <w:pPr>
        <w:spacing w:after="0" w:line="7" w:lineRule="exact"/>
        <w:rPr>
          <w:sz w:val="20"/>
          <w:szCs w:val="20"/>
          <w:color w:val="auto"/>
        </w:rPr>
      </w:pPr>
    </w:p>
    <w:p>
      <w:pPr>
        <w:ind w:left="300" w:right="419"/>
        <w:spacing w:after="0" w:line="245"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as amended, to allow for exculpation of certain officers,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abstentions and broker non-votes.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440" w:right="1440" w:bottom="1440" w:gutter="0" w:footer="0" w:header="0"/>
          <w:type w:val="continuous"/>
        </w:sectPr>
      </w:pPr>
    </w:p>
    <w:bookmarkStart w:id="11" w:name="page12"/>
    <w:bookmarkEnd w:id="1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holders of the shares of our Class A common stock, Class B common stock and Series A preferred stock will vote as a single class on all matters described in this Proxy Statement.</w:t>
      </w:r>
    </w:p>
    <w:p>
      <w:pPr>
        <w:spacing w:after="0" w:line="173" w:lineRule="exact"/>
        <w:rPr>
          <w:sz w:val="20"/>
          <w:szCs w:val="20"/>
          <w:color w:val="auto"/>
        </w:rPr>
      </w:pPr>
    </w:p>
    <w:tbl>
      <w:tblPr>
        <w:tblLayout w:type="fixed"/>
        <w:tblInd w:w="310" w:type="dxa"/>
        <w:tblCellMar>
          <w:top w:w="0" w:type="dxa"/>
          <w:left w:w="0" w:type="dxa"/>
          <w:bottom w:w="0" w:type="dxa"/>
          <w:right w:w="0" w:type="dxa"/>
        </w:tblCellMar>
      </w:tblPr>
      <w:tr>
        <w:trPr>
          <w:trHeight w:val="275"/>
        </w:trPr>
        <w:tc>
          <w:tcPr>
            <w:tcW w:w="2500" w:type="dxa"/>
            <w:vAlign w:val="bottom"/>
            <w:tcBorders>
              <w:top w:val="single" w:sz="8" w:color="B6B6B6"/>
              <w:left w:val="single" w:sz="8" w:color="B6B6B6"/>
              <w:right w:val="single" w:sz="8" w:color="B6B6B6"/>
            </w:tcBorders>
          </w:tcPr>
          <w:p>
            <w:pPr>
              <w:spacing w:after="0"/>
              <w:rPr>
                <w:sz w:val="23"/>
                <w:szCs w:val="23"/>
                <w:color w:val="auto"/>
              </w:rPr>
            </w:pPr>
          </w:p>
        </w:tc>
        <w:tc>
          <w:tcPr>
            <w:tcW w:w="3460" w:type="dxa"/>
            <w:vAlign w:val="bottom"/>
            <w:tcBorders>
              <w:top w:val="single" w:sz="8" w:color="B6B6B6"/>
              <w:right w:val="single" w:sz="8" w:color="B6B6B6"/>
            </w:tcBorders>
          </w:tcPr>
          <w:p>
            <w:pPr>
              <w:spacing w:after="0"/>
              <w:rPr>
                <w:sz w:val="23"/>
                <w:szCs w:val="23"/>
                <w:color w:val="auto"/>
              </w:rPr>
            </w:pPr>
          </w:p>
        </w:tc>
        <w:tc>
          <w:tcPr>
            <w:tcW w:w="1240" w:type="dxa"/>
            <w:vAlign w:val="bottom"/>
            <w:tcBorders>
              <w:top w:val="single" w:sz="8" w:color="B6B6B6"/>
              <w:right w:val="single" w:sz="8" w:color="B6B6B6"/>
            </w:tcBorders>
          </w:tcPr>
          <w:p>
            <w:pPr>
              <w:spacing w:after="0"/>
              <w:rPr>
                <w:sz w:val="23"/>
                <w:szCs w:val="23"/>
                <w:color w:val="auto"/>
              </w:rPr>
            </w:pPr>
          </w:p>
        </w:tc>
        <w:tc>
          <w:tcPr>
            <w:tcW w:w="1220" w:type="dxa"/>
            <w:vAlign w:val="bottom"/>
            <w:tcBorders>
              <w:top w:val="single" w:sz="8" w:color="B6B6B6"/>
              <w:right w:val="single" w:sz="8" w:color="B6B6B6"/>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191"/>
        </w:trPr>
        <w:tc>
          <w:tcPr>
            <w:tcW w:w="2500" w:type="dxa"/>
            <w:vAlign w:val="bottom"/>
            <w:tcBorders>
              <w:left w:val="single" w:sz="8" w:color="B6B6B6"/>
              <w:bottom w:val="single" w:sz="8" w:color="FF5715"/>
              <w:right w:val="single" w:sz="8" w:color="B6B6B6"/>
            </w:tcBorders>
          </w:tcPr>
          <w:p>
            <w:pPr>
              <w:ind w:left="80"/>
              <w:spacing w:after="0" w:line="164" w:lineRule="exact"/>
              <w:rPr>
                <w:sz w:val="20"/>
                <w:szCs w:val="20"/>
                <w:color w:val="auto"/>
              </w:rPr>
            </w:pPr>
            <w:r>
              <w:rPr>
                <w:rFonts w:ascii="Times New Roman" w:cs="Times New Roman" w:eastAsia="Times New Roman" w:hAnsi="Times New Roman"/>
                <w:sz w:val="18"/>
                <w:szCs w:val="18"/>
                <w:b w:val="1"/>
                <w:bCs w:val="1"/>
                <w:color w:val="auto"/>
              </w:rPr>
              <w:t>Proposal</w:t>
            </w:r>
          </w:p>
        </w:tc>
        <w:tc>
          <w:tcPr>
            <w:tcW w:w="3460" w:type="dxa"/>
            <w:vAlign w:val="bottom"/>
            <w:tcBorders>
              <w:bottom w:val="single" w:sz="8" w:color="FF5715"/>
              <w:right w:val="single" w:sz="8" w:color="B6B6B6"/>
            </w:tcBorders>
          </w:tcPr>
          <w:p>
            <w:pPr>
              <w:ind w:left="640"/>
              <w:spacing w:after="0" w:line="164" w:lineRule="exact"/>
              <w:rPr>
                <w:sz w:val="20"/>
                <w:szCs w:val="20"/>
                <w:color w:val="auto"/>
              </w:rPr>
            </w:pPr>
            <w:r>
              <w:rPr>
                <w:rFonts w:ascii="Times New Roman" w:cs="Times New Roman" w:eastAsia="Times New Roman" w:hAnsi="Times New Roman"/>
                <w:sz w:val="18"/>
                <w:szCs w:val="18"/>
                <w:b w:val="1"/>
                <w:bCs w:val="1"/>
                <w:color w:val="auto"/>
              </w:rPr>
              <w:t>Vote Required for Approval</w:t>
            </w:r>
          </w:p>
        </w:tc>
        <w:tc>
          <w:tcPr>
            <w:tcW w:w="1240" w:type="dxa"/>
            <w:vAlign w:val="bottom"/>
            <w:tcBorders>
              <w:bottom w:val="single" w:sz="8" w:color="FF5715"/>
              <w:right w:val="single" w:sz="8" w:color="B6B6B6"/>
            </w:tcBorders>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8"/>
              </w:rPr>
              <w:t>Abstentions</w:t>
            </w:r>
          </w:p>
        </w:tc>
        <w:tc>
          <w:tcPr>
            <w:tcW w:w="1220" w:type="dxa"/>
            <w:vAlign w:val="bottom"/>
            <w:tcBorders>
              <w:bottom w:val="single" w:sz="8" w:color="FF5715"/>
              <w:right w:val="single" w:sz="8" w:color="B6B6B6"/>
            </w:tcBorders>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21"/>
        </w:trPr>
        <w:tc>
          <w:tcPr>
            <w:tcW w:w="2500" w:type="dxa"/>
            <w:vAlign w:val="bottom"/>
            <w:tcBorders>
              <w:left w:val="single" w:sz="8" w:color="B6B6B6"/>
              <w:right w:val="single" w:sz="8" w:color="B6B6B6"/>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1. Election of directors</w:t>
            </w: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Each of the   three nominees must receive</w:t>
            </w:r>
          </w:p>
        </w:tc>
        <w:tc>
          <w:tcPr>
            <w:tcW w:w="1240" w:type="dxa"/>
            <w:vAlign w:val="bottom"/>
            <w:tcBorders>
              <w:right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1220" w:type="dxa"/>
            <w:vAlign w:val="bottom"/>
            <w:tcBorders>
              <w:right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r>
      <w:tr>
        <w:trPr>
          <w:trHeight w:val="220"/>
        </w:trPr>
        <w:tc>
          <w:tcPr>
            <w:tcW w:w="2500" w:type="dxa"/>
            <w:vAlign w:val="bottom"/>
            <w:tcBorders>
              <w:left w:val="single" w:sz="8" w:color="B6B6B6"/>
              <w:right w:val="single" w:sz="8" w:color="B6B6B6"/>
            </w:tcBorders>
            <w:shd w:val="clear" w:color="auto" w:fill="DBDBDB"/>
          </w:tcPr>
          <w:p>
            <w:pPr>
              <w:spacing w:after="0"/>
              <w:rPr>
                <w:sz w:val="19"/>
                <w:szCs w:val="19"/>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holders of a majority of</w:t>
            </w:r>
          </w:p>
        </w:tc>
        <w:tc>
          <w:tcPr>
            <w:tcW w:w="1240" w:type="dxa"/>
            <w:vAlign w:val="bottom"/>
            <w:tcBorders>
              <w:right w:val="single" w:sz="8" w:color="B6B6B6"/>
            </w:tcBorders>
            <w:shd w:val="clear" w:color="auto" w:fill="DBDBDB"/>
          </w:tcPr>
          <w:p>
            <w:pPr>
              <w:spacing w:after="0"/>
              <w:rPr>
                <w:sz w:val="19"/>
                <w:szCs w:val="19"/>
                <w:color w:val="auto"/>
              </w:rPr>
            </w:pPr>
          </w:p>
        </w:tc>
        <w:tc>
          <w:tcPr>
            <w:tcW w:w="1220" w:type="dxa"/>
            <w:vAlign w:val="bottom"/>
            <w:tcBorders>
              <w:right w:val="single" w:sz="8" w:color="B6B6B6"/>
            </w:tcBorders>
            <w:shd w:val="clear" w:color="auto" w:fill="DBDBDB"/>
          </w:tcPr>
          <w:p>
            <w:pPr>
              <w:spacing w:after="0"/>
              <w:rPr>
                <w:sz w:val="19"/>
                <w:szCs w:val="19"/>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shares cast. Any director nominee who does</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not receive a majority of the votes cast shall</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promptly tender a resignation to the</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nominating and governance committee, which</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will make a recommendation to the board of</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directors as to whether to accept or reject the</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resignation or take other action. The board of</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directors will, within 90 days following</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certification of the election results, publicly</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disclose its decision regarding the resignation</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and, if such resignation is rejected, the</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34"/>
        </w:trPr>
        <w:tc>
          <w:tcPr>
            <w:tcW w:w="2500" w:type="dxa"/>
            <w:vAlign w:val="bottom"/>
            <w:tcBorders>
              <w:left w:val="single" w:sz="8" w:color="B6B6B6"/>
              <w:right w:val="single" w:sz="8" w:color="B6B6B6"/>
            </w:tcBorders>
            <w:shd w:val="clear" w:color="auto" w:fill="DBDBDB"/>
          </w:tcPr>
          <w:p>
            <w:pPr>
              <w:spacing w:after="0"/>
              <w:rPr>
                <w:sz w:val="20"/>
                <w:szCs w:val="20"/>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rationale behind the decision.</w:t>
            </w:r>
          </w:p>
        </w:tc>
        <w:tc>
          <w:tcPr>
            <w:tcW w:w="1240" w:type="dxa"/>
            <w:vAlign w:val="bottom"/>
            <w:tcBorders>
              <w:right w:val="single" w:sz="8" w:color="B6B6B6"/>
            </w:tcBorders>
            <w:shd w:val="clear" w:color="auto" w:fill="DBDBDB"/>
          </w:tcPr>
          <w:p>
            <w:pPr>
              <w:spacing w:after="0"/>
              <w:rPr>
                <w:sz w:val="20"/>
                <w:szCs w:val="20"/>
                <w:color w:val="auto"/>
              </w:rPr>
            </w:pPr>
          </w:p>
        </w:tc>
        <w:tc>
          <w:tcPr>
            <w:tcW w:w="1220" w:type="dxa"/>
            <w:vAlign w:val="bottom"/>
            <w:tcBorders>
              <w:right w:val="single" w:sz="8" w:color="B6B6B6"/>
            </w:tcBorders>
            <w:shd w:val="clear" w:color="auto" w:fill="DBDBDB"/>
          </w:tcPr>
          <w:p>
            <w:pPr>
              <w:spacing w:after="0"/>
              <w:rPr>
                <w:sz w:val="20"/>
                <w:szCs w:val="20"/>
                <w:color w:val="auto"/>
              </w:rPr>
            </w:pPr>
          </w:p>
        </w:tc>
      </w:tr>
      <w:tr>
        <w:trPr>
          <w:trHeight w:val="216"/>
        </w:trPr>
        <w:tc>
          <w:tcPr>
            <w:tcW w:w="2500" w:type="dxa"/>
            <w:vAlign w:val="bottom"/>
            <w:tcBorders>
              <w:left w:val="single" w:sz="8" w:color="B6B6B6"/>
              <w:bottom w:val="single" w:sz="8" w:color="B6B6B6"/>
              <w:right w:val="single" w:sz="8" w:color="B6B6B6"/>
            </w:tcBorders>
            <w:shd w:val="clear" w:color="auto" w:fill="DBDBDB"/>
          </w:tcPr>
          <w:p>
            <w:pPr>
              <w:spacing w:after="0"/>
              <w:rPr>
                <w:sz w:val="18"/>
                <w:szCs w:val="18"/>
                <w:color w:val="auto"/>
              </w:rPr>
            </w:pPr>
          </w:p>
        </w:tc>
        <w:tc>
          <w:tcPr>
            <w:tcW w:w="3460" w:type="dxa"/>
            <w:vAlign w:val="bottom"/>
            <w:tcBorders>
              <w:bottom w:val="single" w:sz="8" w:color="B6B6B6"/>
              <w:right w:val="single" w:sz="8" w:color="B6B6B6"/>
            </w:tcBorders>
            <w:shd w:val="clear" w:color="auto" w:fill="DBDBDB"/>
          </w:tcPr>
          <w:p>
            <w:pPr>
              <w:spacing w:after="0"/>
              <w:rPr>
                <w:sz w:val="18"/>
                <w:szCs w:val="18"/>
                <w:color w:val="auto"/>
              </w:rPr>
            </w:pPr>
          </w:p>
        </w:tc>
        <w:tc>
          <w:tcPr>
            <w:tcW w:w="1240" w:type="dxa"/>
            <w:vAlign w:val="bottom"/>
            <w:tcBorders>
              <w:bottom w:val="single" w:sz="8" w:color="B6B6B6"/>
              <w:right w:val="single" w:sz="8" w:color="B6B6B6"/>
            </w:tcBorders>
            <w:shd w:val="clear" w:color="auto" w:fill="DBDBDB"/>
          </w:tcPr>
          <w:p>
            <w:pPr>
              <w:spacing w:after="0"/>
              <w:rPr>
                <w:sz w:val="18"/>
                <w:szCs w:val="18"/>
                <w:color w:val="auto"/>
              </w:rPr>
            </w:pPr>
          </w:p>
        </w:tc>
        <w:tc>
          <w:tcPr>
            <w:tcW w:w="1220" w:type="dxa"/>
            <w:vAlign w:val="bottom"/>
            <w:tcBorders>
              <w:bottom w:val="single" w:sz="8" w:color="B6B6B6"/>
              <w:right w:val="single" w:sz="8" w:color="B6B6B6"/>
            </w:tcBorders>
            <w:shd w:val="clear" w:color="auto" w:fill="DBDBDB"/>
          </w:tcPr>
          <w:p>
            <w:pPr>
              <w:spacing w:after="0"/>
              <w:rPr>
                <w:sz w:val="18"/>
                <w:szCs w:val="18"/>
                <w:color w:val="auto"/>
              </w:rPr>
            </w:pPr>
          </w:p>
        </w:tc>
      </w:tr>
      <w:tr>
        <w:trPr>
          <w:trHeight w:val="218"/>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2. Ratification of the selection of</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w:t>
            </w:r>
          </w:p>
        </w:tc>
        <w:tc>
          <w:tcPr>
            <w:tcW w:w="124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122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Deloitte &amp; Touche LLP as our</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of a majority of shares present by virtual</w:t>
            </w: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attendance or represented by proxy and</w:t>
            </w: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accounting firm for the fiscal</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entitled to vote on the matter.</w:t>
            </w: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34"/>
        </w:trPr>
        <w:tc>
          <w:tcPr>
            <w:tcW w:w="2500" w:type="dxa"/>
            <w:vAlign w:val="bottom"/>
            <w:tcBorders>
              <w:left w:val="single" w:sz="8" w:color="B6B6B6"/>
              <w:bottom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3460" w:type="dxa"/>
            <w:vAlign w:val="bottom"/>
            <w:tcBorders>
              <w:bottom w:val="single" w:sz="8" w:color="B6B6B6"/>
              <w:right w:val="single" w:sz="8" w:color="B6B6B6"/>
            </w:tcBorders>
          </w:tcPr>
          <w:p>
            <w:pPr>
              <w:spacing w:after="0"/>
              <w:rPr>
                <w:sz w:val="20"/>
                <w:szCs w:val="20"/>
                <w:color w:val="auto"/>
              </w:rPr>
            </w:pPr>
          </w:p>
        </w:tc>
        <w:tc>
          <w:tcPr>
            <w:tcW w:w="1240" w:type="dxa"/>
            <w:vAlign w:val="bottom"/>
            <w:tcBorders>
              <w:bottom w:val="single" w:sz="8" w:color="B6B6B6"/>
              <w:right w:val="single" w:sz="8" w:color="B6B6B6"/>
            </w:tcBorders>
          </w:tcPr>
          <w:p>
            <w:pPr>
              <w:spacing w:after="0"/>
              <w:rPr>
                <w:sz w:val="20"/>
                <w:szCs w:val="20"/>
                <w:color w:val="auto"/>
              </w:rPr>
            </w:pPr>
          </w:p>
        </w:tc>
        <w:tc>
          <w:tcPr>
            <w:tcW w:w="1220" w:type="dxa"/>
            <w:vAlign w:val="bottom"/>
            <w:tcBorders>
              <w:bottom w:val="single" w:sz="8" w:color="B6B6B6"/>
              <w:right w:val="single" w:sz="8" w:color="B6B6B6"/>
            </w:tcBorders>
          </w:tcPr>
          <w:p>
            <w:pPr>
              <w:spacing w:after="0"/>
              <w:rPr>
                <w:sz w:val="20"/>
                <w:szCs w:val="20"/>
                <w:color w:val="auto"/>
              </w:rPr>
            </w:pPr>
          </w:p>
        </w:tc>
      </w:tr>
      <w:tr>
        <w:trPr>
          <w:trHeight w:val="218"/>
        </w:trPr>
        <w:tc>
          <w:tcPr>
            <w:tcW w:w="2500" w:type="dxa"/>
            <w:vAlign w:val="bottom"/>
            <w:tcBorders>
              <w:left w:val="single" w:sz="8" w:color="B6B6B6"/>
              <w:right w:val="single" w:sz="8" w:color="B6B6B6"/>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3. Approval, on an advisory</w:t>
            </w: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w:t>
            </w:r>
          </w:p>
        </w:tc>
        <w:tc>
          <w:tcPr>
            <w:tcW w:w="1240" w:type="dxa"/>
            <w:vAlign w:val="bottom"/>
            <w:tcBorders>
              <w:right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1220" w:type="dxa"/>
            <w:vAlign w:val="bottom"/>
            <w:tcBorders>
              <w:right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No effect</w:t>
            </w:r>
          </w:p>
        </w:tc>
      </w:tr>
      <w:tr>
        <w:trPr>
          <w:trHeight w:val="216"/>
        </w:trPr>
        <w:tc>
          <w:tcPr>
            <w:tcW w:w="2500" w:type="dxa"/>
            <w:vAlign w:val="bottom"/>
            <w:tcBorders>
              <w:left w:val="single" w:sz="8" w:color="B6B6B6"/>
              <w:right w:val="single" w:sz="8" w:color="B6B6B6"/>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basis, of our named executive</w:t>
            </w: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of a majority of shares present by virtual</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officer compensation</w:t>
            </w: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attendance or represented by proxy and</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entitled to vote on the matter. Although the</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advisory vote on this proposal is nonbinding,</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the board of directors and the compensation</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committee expect to consider the results of the</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16"/>
        </w:trPr>
        <w:tc>
          <w:tcPr>
            <w:tcW w:w="2500" w:type="dxa"/>
            <w:vAlign w:val="bottom"/>
            <w:tcBorders>
              <w:left w:val="single" w:sz="8" w:color="B6B6B6"/>
              <w:right w:val="single" w:sz="8" w:color="B6B6B6"/>
            </w:tcBorders>
            <w:shd w:val="clear" w:color="auto" w:fill="DBDBDB"/>
          </w:tcPr>
          <w:p>
            <w:pPr>
              <w:spacing w:after="0"/>
              <w:rPr>
                <w:sz w:val="18"/>
                <w:szCs w:val="18"/>
                <w:color w:val="auto"/>
              </w:rPr>
            </w:pPr>
          </w:p>
        </w:tc>
        <w:tc>
          <w:tcPr>
            <w:tcW w:w="3460" w:type="dxa"/>
            <w:vAlign w:val="bottom"/>
            <w:tcBorders>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vote when making executive compensation</w:t>
            </w:r>
          </w:p>
        </w:tc>
        <w:tc>
          <w:tcPr>
            <w:tcW w:w="1240" w:type="dxa"/>
            <w:vAlign w:val="bottom"/>
            <w:tcBorders>
              <w:right w:val="single" w:sz="8" w:color="B6B6B6"/>
            </w:tcBorders>
            <w:shd w:val="clear" w:color="auto" w:fill="DBDBDB"/>
          </w:tcPr>
          <w:p>
            <w:pPr>
              <w:spacing w:after="0"/>
              <w:rPr>
                <w:sz w:val="18"/>
                <w:szCs w:val="18"/>
                <w:color w:val="auto"/>
              </w:rPr>
            </w:pPr>
          </w:p>
        </w:tc>
        <w:tc>
          <w:tcPr>
            <w:tcW w:w="1220" w:type="dxa"/>
            <w:vAlign w:val="bottom"/>
            <w:tcBorders>
              <w:right w:val="single" w:sz="8" w:color="B6B6B6"/>
            </w:tcBorders>
            <w:shd w:val="clear" w:color="auto" w:fill="DBDBDB"/>
          </w:tcPr>
          <w:p>
            <w:pPr>
              <w:spacing w:after="0"/>
              <w:rPr>
                <w:sz w:val="18"/>
                <w:szCs w:val="18"/>
                <w:color w:val="auto"/>
              </w:rPr>
            </w:pPr>
          </w:p>
        </w:tc>
      </w:tr>
      <w:tr>
        <w:trPr>
          <w:trHeight w:val="234"/>
        </w:trPr>
        <w:tc>
          <w:tcPr>
            <w:tcW w:w="2500" w:type="dxa"/>
            <w:vAlign w:val="bottom"/>
            <w:tcBorders>
              <w:left w:val="single" w:sz="8" w:color="B6B6B6"/>
              <w:bottom w:val="single" w:sz="8" w:color="B6B6B6"/>
              <w:right w:val="single" w:sz="8" w:color="B6B6B6"/>
            </w:tcBorders>
            <w:shd w:val="clear" w:color="auto" w:fill="DBDBDB"/>
          </w:tcPr>
          <w:p>
            <w:pPr>
              <w:spacing w:after="0"/>
              <w:rPr>
                <w:sz w:val="20"/>
                <w:szCs w:val="20"/>
                <w:color w:val="auto"/>
              </w:rPr>
            </w:pPr>
          </w:p>
        </w:tc>
        <w:tc>
          <w:tcPr>
            <w:tcW w:w="3460" w:type="dxa"/>
            <w:vAlign w:val="bottom"/>
            <w:tcBorders>
              <w:bottom w:val="single" w:sz="8" w:color="B6B6B6"/>
              <w:right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decisions.</w:t>
            </w:r>
          </w:p>
        </w:tc>
        <w:tc>
          <w:tcPr>
            <w:tcW w:w="1240" w:type="dxa"/>
            <w:vAlign w:val="bottom"/>
            <w:tcBorders>
              <w:bottom w:val="single" w:sz="8" w:color="B6B6B6"/>
              <w:right w:val="single" w:sz="8" w:color="B6B6B6"/>
            </w:tcBorders>
            <w:shd w:val="clear" w:color="auto" w:fill="DBDBDB"/>
          </w:tcPr>
          <w:p>
            <w:pPr>
              <w:spacing w:after="0"/>
              <w:rPr>
                <w:sz w:val="20"/>
                <w:szCs w:val="20"/>
                <w:color w:val="auto"/>
              </w:rPr>
            </w:pPr>
          </w:p>
        </w:tc>
        <w:tc>
          <w:tcPr>
            <w:tcW w:w="1220" w:type="dxa"/>
            <w:vAlign w:val="bottom"/>
            <w:tcBorders>
              <w:bottom w:val="single" w:sz="8" w:color="B6B6B6"/>
              <w:right w:val="single" w:sz="8" w:color="B6B6B6"/>
            </w:tcBorders>
            <w:shd w:val="clear" w:color="auto" w:fill="DBDBDB"/>
          </w:tcPr>
          <w:p>
            <w:pPr>
              <w:spacing w:after="0"/>
              <w:rPr>
                <w:sz w:val="20"/>
                <w:szCs w:val="20"/>
                <w:color w:val="auto"/>
              </w:rPr>
            </w:pPr>
          </w:p>
        </w:tc>
      </w:tr>
      <w:tr>
        <w:trPr>
          <w:trHeight w:val="218"/>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4. Approval of an amendment to</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w:t>
            </w:r>
          </w:p>
        </w:tc>
        <w:tc>
          <w:tcPr>
            <w:tcW w:w="124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122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the Company’s Amended and</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of at least 66 2/3% of the shares outstanding</w:t>
            </w: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Restated Certificate of</w:t>
            </w:r>
          </w:p>
        </w:tc>
        <w:tc>
          <w:tcPr>
            <w:tcW w:w="3460" w:type="dxa"/>
            <w:vAlign w:val="bottom"/>
            <w:tcBorders>
              <w:right w:val="single" w:sz="8" w:color="B6B6B6"/>
            </w:tcBorders>
          </w:tcPr>
          <w:p>
            <w:pPr>
              <w:ind w:left="40"/>
              <w:spacing w:after="0"/>
              <w:rPr>
                <w:sz w:val="20"/>
                <w:szCs w:val="20"/>
                <w:color w:val="auto"/>
              </w:rPr>
            </w:pPr>
            <w:r>
              <w:rPr>
                <w:rFonts w:ascii="Times New Roman" w:cs="Times New Roman" w:eastAsia="Times New Roman" w:hAnsi="Times New Roman"/>
                <w:sz w:val="18"/>
                <w:szCs w:val="18"/>
                <w:color w:val="auto"/>
              </w:rPr>
              <w:t>and entitled to vote on the matter.</w:t>
            </w: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Incorporation, as amended, to</w:t>
            </w:r>
          </w:p>
        </w:tc>
        <w:tc>
          <w:tcPr>
            <w:tcW w:w="3460" w:type="dxa"/>
            <w:vAlign w:val="bottom"/>
            <w:tcBorders>
              <w:right w:val="single" w:sz="8" w:color="B6B6B6"/>
            </w:tcBorders>
          </w:tcPr>
          <w:p>
            <w:pPr>
              <w:spacing w:after="0"/>
              <w:rPr>
                <w:sz w:val="18"/>
                <w:szCs w:val="18"/>
                <w:color w:val="auto"/>
              </w:rPr>
            </w:pP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16"/>
        </w:trPr>
        <w:tc>
          <w:tcPr>
            <w:tcW w:w="2500" w:type="dxa"/>
            <w:vAlign w:val="bottom"/>
            <w:tcBorders>
              <w:left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allow for exculpation of certain</w:t>
            </w:r>
          </w:p>
        </w:tc>
        <w:tc>
          <w:tcPr>
            <w:tcW w:w="3460" w:type="dxa"/>
            <w:vAlign w:val="bottom"/>
            <w:tcBorders>
              <w:right w:val="single" w:sz="8" w:color="B6B6B6"/>
            </w:tcBorders>
          </w:tcPr>
          <w:p>
            <w:pPr>
              <w:spacing w:after="0"/>
              <w:rPr>
                <w:sz w:val="18"/>
                <w:szCs w:val="18"/>
                <w:color w:val="auto"/>
              </w:rPr>
            </w:pPr>
          </w:p>
        </w:tc>
        <w:tc>
          <w:tcPr>
            <w:tcW w:w="1240" w:type="dxa"/>
            <w:vAlign w:val="bottom"/>
            <w:tcBorders>
              <w:right w:val="single" w:sz="8" w:color="B6B6B6"/>
            </w:tcBorders>
          </w:tcPr>
          <w:p>
            <w:pPr>
              <w:spacing w:after="0"/>
              <w:rPr>
                <w:sz w:val="18"/>
                <w:szCs w:val="18"/>
                <w:color w:val="auto"/>
              </w:rPr>
            </w:pPr>
          </w:p>
        </w:tc>
        <w:tc>
          <w:tcPr>
            <w:tcW w:w="1220" w:type="dxa"/>
            <w:vAlign w:val="bottom"/>
            <w:tcBorders>
              <w:right w:val="single" w:sz="8" w:color="B6B6B6"/>
            </w:tcBorders>
          </w:tcPr>
          <w:p>
            <w:pPr>
              <w:spacing w:after="0"/>
              <w:rPr>
                <w:sz w:val="18"/>
                <w:szCs w:val="18"/>
                <w:color w:val="auto"/>
              </w:rPr>
            </w:pPr>
          </w:p>
        </w:tc>
      </w:tr>
      <w:tr>
        <w:trPr>
          <w:trHeight w:val="234"/>
        </w:trPr>
        <w:tc>
          <w:tcPr>
            <w:tcW w:w="2500" w:type="dxa"/>
            <w:vAlign w:val="bottom"/>
            <w:tcBorders>
              <w:left w:val="single" w:sz="8" w:color="B6B6B6"/>
              <w:bottom w:val="single" w:sz="8" w:color="B6B6B6"/>
              <w:right w:val="single" w:sz="8" w:color="B6B6B6"/>
            </w:tcBorders>
          </w:tcPr>
          <w:p>
            <w:pPr>
              <w:ind w:left="80"/>
              <w:spacing w:after="0"/>
              <w:rPr>
                <w:sz w:val="20"/>
                <w:szCs w:val="20"/>
                <w:color w:val="auto"/>
              </w:rPr>
            </w:pPr>
            <w:r>
              <w:rPr>
                <w:rFonts w:ascii="Times New Roman" w:cs="Times New Roman" w:eastAsia="Times New Roman" w:hAnsi="Times New Roman"/>
                <w:sz w:val="18"/>
                <w:szCs w:val="18"/>
                <w:color w:val="auto"/>
              </w:rPr>
              <w:t>officers</w:t>
            </w:r>
          </w:p>
        </w:tc>
        <w:tc>
          <w:tcPr>
            <w:tcW w:w="3460" w:type="dxa"/>
            <w:vAlign w:val="bottom"/>
            <w:tcBorders>
              <w:bottom w:val="single" w:sz="8" w:color="B6B6B6"/>
              <w:right w:val="single" w:sz="8" w:color="B6B6B6"/>
            </w:tcBorders>
          </w:tcPr>
          <w:p>
            <w:pPr>
              <w:spacing w:after="0"/>
              <w:rPr>
                <w:sz w:val="20"/>
                <w:szCs w:val="20"/>
                <w:color w:val="auto"/>
              </w:rPr>
            </w:pPr>
          </w:p>
        </w:tc>
        <w:tc>
          <w:tcPr>
            <w:tcW w:w="1240" w:type="dxa"/>
            <w:vAlign w:val="bottom"/>
            <w:tcBorders>
              <w:bottom w:val="single" w:sz="8" w:color="B6B6B6"/>
              <w:right w:val="single" w:sz="8" w:color="B6B6B6"/>
            </w:tcBorders>
          </w:tcPr>
          <w:p>
            <w:pPr>
              <w:spacing w:after="0"/>
              <w:rPr>
                <w:sz w:val="20"/>
                <w:szCs w:val="20"/>
                <w:color w:val="auto"/>
              </w:rPr>
            </w:pPr>
          </w:p>
        </w:tc>
        <w:tc>
          <w:tcPr>
            <w:tcW w:w="1220" w:type="dxa"/>
            <w:vAlign w:val="bottom"/>
            <w:tcBorders>
              <w:bottom w:val="single" w:sz="8" w:color="B6B6B6"/>
              <w:right w:val="single" w:sz="8" w:color="B6B6B6"/>
            </w:tcBorders>
          </w:tcPr>
          <w:p>
            <w:pPr>
              <w:spacing w:after="0"/>
              <w:rPr>
                <w:sz w:val="20"/>
                <w:szCs w:val="20"/>
                <w:color w:val="auto"/>
              </w:rPr>
            </w:pPr>
          </w:p>
        </w:tc>
      </w:tr>
    </w:tbl>
    <w:p>
      <w:pPr>
        <w:spacing w:after="0" w:line="157"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The holder of our Series A preferred stock has agreed to vote its shares of Series A preferred stock at the Annual Meeting in support of Proposal 1 and in the same proportion as our unaffiliated stockholders with respect to all of the other proposals. Our “unaffiliated stockholders” do not include any of our current officers and directors and any other beneficial owner of more than 5.0% (determined on a fully diluted basis) of our outstanding common stock (other than investors that are eligible to file a Schedule 13G with the SEC pursuant to Rule 13d-1(b) under the Securities Exchange Act of 1934 (the “Exchange Act”)) and any affiliate of any of the foregoing persons.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440" w:right="1440" w:bottom="1440" w:gutter="0" w:footer="0" w:header="0"/>
          <w:type w:val="continuous"/>
        </w:sectPr>
      </w:pPr>
    </w:p>
    <w:bookmarkStart w:id="12" w:name="page13"/>
    <w:bookmarkEnd w:id="12"/>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are present at the Annual Meeting by virtual attendance or represented by proxy. On the Record Date, there were 14,015,900 shares of Class A common stock and 1,806,236 shares of Class B common stock outstanding and entitled to vote. As of the Record Date, the holder of the outstanding shares of Series A preferred stock is entitled to 780,727 votes.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agent) or if you vote online during the Annual Meeting. Abstentions and broker non-votes will be counted towards the quorum requirement. If there is no quorum, the holders of a majority of the voting power of the shares present at the Annual Meeting by virtual attendance or represented by proxy may adjourn the Annual Meeting to another date.</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75"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75"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pursuant to Rule 14a-8 under the Exchange Act, your proposal must be submitted in writing by December 25, 2026 , to our Secretary at 80 E. Rich Street, Suite 500, Columbus, Ohio 43215, Attention: Secretary. Rule 14a-8 and related guidance provide that certain stockholder proposals may be excluded from a proxy statement. We will evaluate any stockholder proposal received and may exclude such stockholder proposal if permitted in accordance with such rule and guidance.</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Pursuant to our Amended and Restated Bylaws, if you wish to submit a proposal (including a director nomination) at the annual meeting of stockholders to be held in 2027 (the “2027 Annual Meeting”) that is not to be included in next year’s proxy materials, you must do so not later than the close of business on March 5, 2027 , nor earlier than the close of business on February 3, 2027 . However, if the date of our 2027 Annual Meeting is held prior to May 4, 2027 or after July 3, 2027, to be timely, notice by the stockholder must be received (A) not earlier than the close of business on the 120th day prior to the 2027 Annual Meeting and (B) not later than the close of business on the later of the 90th day prior to the 2027 Annual Meeting or, if later than the 90th day prior to the 2027 Annual Meeting, the 10th day following the day on which public announcement of the date of the 2027 Annual Meeting is first made. You are also advised to review our Amended and Restated Bylaws, which contain additional requirements about advance notice of stockholder proposals and director nominations. A stockholder who intends to solicit proxies in support of director nominees other than the Company’s nominees must satisfy the foregoing requirements under our Amended and Restated Bylaws, including providing the information required by Rule 14a-19 under the Exchange Act. The requirements of such notice can be found in our Amended and Restated Bylaws, a copy of which is on our website, at </w:t>
      </w:r>
      <w:r>
        <w:rPr>
          <w:rFonts w:ascii="Times New Roman" w:cs="Times New Roman" w:eastAsia="Times New Roman" w:hAnsi="Times New Roman"/>
          <w:sz w:val="18"/>
          <w:szCs w:val="18"/>
          <w:i w:val="1"/>
          <w:iCs w:val="1"/>
          <w:color w:val="auto"/>
        </w:rPr>
        <w:t>ir.joinroot.com</w:t>
      </w:r>
      <w:r>
        <w:rPr>
          <w:rFonts w:ascii="Times New Roman" w:cs="Times New Roman" w:eastAsia="Times New Roman" w:hAnsi="Times New Roman"/>
          <w:sz w:val="18"/>
          <w:szCs w:val="18"/>
          <w:color w:val="auto"/>
        </w:rPr>
        <w:t xml:space="preserve"> .</w:t>
      </w:r>
    </w:p>
    <w:p>
      <w:pPr>
        <w:spacing w:after="0" w:line="143"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Our proxy related to the 2027 Annual Meeting will give discretionary authority to the proxy holders to vote with respect to all proposals submitted outside the process of Rule 14a-8 received by us after the date determined in accordance with our Amended and Restated Bylaws.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75"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440"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1 - ELECTION OF DIRECTORS</w:t>
      </w:r>
    </w:p>
    <w:p>
      <w:pPr>
        <w:spacing w:after="0" w:line="88"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and is divided into three classes. Each class consists, as nearly as possible, of one-third of the total number of directors and each class has a three-year term. At each annual meeting of stockholders, the successors to directors whose terms then expire will be elected to serve from the time of election until the third annual meeting following the election.</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directors are divided into the three classes as follows:</w:t>
      </w:r>
    </w:p>
    <w:p>
      <w:pPr>
        <w:spacing w:after="0" w:line="63" w:lineRule="exact"/>
        <w:rPr>
          <w:sz w:val="20"/>
          <w:szCs w:val="20"/>
          <w:color w:val="auto"/>
        </w:rPr>
      </w:pPr>
    </w:p>
    <w:p>
      <w:pPr>
        <w:ind w:left="620" w:right="419" w:hanging="328"/>
        <w:spacing w:after="0" w:line="28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Lawrence Hilsheimer, Alexander Timm and Douglas Ulman, whose terms will expire at the Annual Meeting;</w:t>
      </w:r>
    </w:p>
    <w:p>
      <w:pPr>
        <w:spacing w:after="0" w:line="1" w:lineRule="exact"/>
        <w:rPr>
          <w:rFonts w:ascii="Times New Roman" w:cs="Times New Roman" w:eastAsia="Times New Roman" w:hAnsi="Times New Roman"/>
          <w:sz w:val="18"/>
          <w:szCs w:val="18"/>
          <w:color w:val="auto"/>
        </w:rPr>
      </w:pPr>
    </w:p>
    <w:p>
      <w:pPr>
        <w:ind w:left="620" w:right="839" w:hanging="328"/>
        <w:spacing w:after="0" w:line="28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Beth Birnbaum, Donna Dorsey and Julie Szudarek, whose terms will expire at the 2027 Annual Meeting; and</w:t>
      </w:r>
    </w:p>
    <w:p>
      <w:pPr>
        <w:spacing w:after="0" w:line="1" w:lineRule="exact"/>
        <w:rPr>
          <w:rFonts w:ascii="Times New Roman" w:cs="Times New Roman" w:eastAsia="Times New Roman" w:hAnsi="Times New Roman"/>
          <w:sz w:val="18"/>
          <w:szCs w:val="18"/>
          <w:color w:val="auto"/>
        </w:rPr>
      </w:pPr>
    </w:p>
    <w:p>
      <w:pPr>
        <w:ind w:left="620" w:right="1159" w:hanging="328"/>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Jerri DeVard and Nancy Kramer, whose terms will expire at the annual meeting of stockholders to be held in 2028.</w:t>
      </w:r>
    </w:p>
    <w:p>
      <w:pPr>
        <w:spacing w:after="0" w:line="54"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 Vacancies on the board of directors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 The division of our board of directors into three classes with staggered three-year terms may delay or prevent a change of our management or a change in control of Root.</w:t>
      </w:r>
    </w:p>
    <w:p>
      <w:pPr>
        <w:spacing w:after="0" w:line="77" w:lineRule="exact"/>
        <w:rPr>
          <w:sz w:val="20"/>
          <w:szCs w:val="20"/>
          <w:color w:val="auto"/>
        </w:rPr>
      </w:pPr>
    </w:p>
    <w:p>
      <w:pPr>
        <w:ind w:left="300"/>
        <w:spacing w:after="0"/>
        <w:tabs>
          <w:tab w:leader="none" w:pos="3420" w:val="left"/>
          <w:tab w:leader="none" w:pos="7980" w:val="left"/>
        </w:tabs>
        <w:rPr>
          <w:sz w:val="20"/>
          <w:szCs w:val="20"/>
          <w:color w:val="auto"/>
        </w:rPr>
      </w:pPr>
      <w:r>
        <w:rPr>
          <w:rFonts w:ascii="Times New Roman" w:cs="Times New Roman" w:eastAsia="Times New Roman" w:hAnsi="Times New Roman"/>
          <w:sz w:val="18"/>
          <w:szCs w:val="18"/>
          <w:b w:val="1"/>
          <w:bCs w:val="1"/>
          <w:color w:val="auto"/>
        </w:rPr>
        <w:t>Messrs. Hilsheimer, Timm and Ulman</w:t>
        <w:tab/>
        <w:t>have each been nominated for reelection to serve as a</w:t>
      </w:r>
      <w:r>
        <w:rPr>
          <w:sz w:val="20"/>
          <w:szCs w:val="20"/>
          <w:color w:val="auto"/>
        </w:rPr>
        <w:tab/>
      </w:r>
      <w:r>
        <w:rPr>
          <w:rFonts w:ascii="Times New Roman" w:cs="Times New Roman" w:eastAsia="Times New Roman" w:hAnsi="Times New Roman"/>
          <w:sz w:val="18"/>
          <w:szCs w:val="18"/>
          <w:b w:val="1"/>
          <w:bCs w:val="1"/>
          <w:color w:val="auto"/>
        </w:rPr>
        <w:t>Class III</w:t>
      </w:r>
    </w:p>
    <w:p>
      <w:pPr>
        <w:spacing w:after="0" w:line="31" w:lineRule="exact"/>
        <w:rPr>
          <w:sz w:val="20"/>
          <w:szCs w:val="20"/>
          <w:color w:val="auto"/>
        </w:rPr>
      </w:pPr>
    </w:p>
    <w:p>
      <w:pPr>
        <w:ind w:left="300" w:right="43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Each of Messrs. Hilsheimer, Timm and Ulman is currently a member of our board of directors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elected by the stockholders at the annual meeting of stockholders held in 2023. Each of these nominees has agreed to stand for reelection at the Annual Meeting. Our management has no reason to believe that any nominee will be unable to serve. If elected at the Annual Meeting, each of these nominees would serve until the annual meeting of stockholders to be held in 2029 and until his successor has been duly elected, or if sooner, until the director’s death, resignation or removal.</w:t>
      </w:r>
    </w:p>
    <w:p>
      <w:pPr>
        <w:spacing w:after="0" w:line="8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Our Amended and Restated Bylaws include a majority vote standard for uncontested director elections, which requires that a nominee for director in an uncontested election receive a majority of the votes cast at a stockholder meeting in order to be elected to the board of directors. Any director nominee who does not receive a majority of the votes cast shall promptly tender a resignation to the nominating and governance committee, which will make a recommendation to the board of directors as to whether to accept or reject the resignation or take other action. The board of directors will, within 90 days following certification of the election results, publicly disclose its decision regarding the resignation and, if such resignation is rejected, the rationale behind the decision. If any nominee becomes unavailable for election as a result of an unexpected occurrence, shares that would have been voted for that nominee may instead be voted for the election of a substitute nominee proposed by us.</w:t>
      </w:r>
    </w:p>
    <w:p>
      <w:pPr>
        <w:spacing w:after="0" w:line="80"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Our nominating and governance committee seeks to assemble a board of directors that, as a whole, possesses the appropriate balance of professional and industry knowledge, financial expertise and high-level management experience necessary to oversee and direct our business. To that end, the nominating and governance committee has identified and evaluated nominees in the broader context of the board of directors’ overall composition, with the goal of recruiting members who complement and strengthen the skills of other members and who also exhibit integrity, collegiality, sound business judgment and other qualities that the nominating and governance committee views as critical to effective functioning of the board of directors. To provide a mix of experience and perspective on the board of directors, the nominating and governance committee also takes into account diversity (including gender identity, race, ethnicity, nationality, religion, disability, age and sexual orientation) and other factors that it deems appropriate to maintain a balance of knowledge, experience, and capability on the board of directors. The biographies below include information, as of the date of this Proxy Statement, regarding the specific and particular experience, qualifications, attributes or skills of each director nominee that led the nominating and governance committee to believe that that nominee should continue to serve on the board of directors. However, each of the members of the nominating and governance committee may have a variety of reasons why a particular person would be an appropriate nominee for the board of directors and these views may differ from the views of other members.</w:t>
      </w:r>
    </w:p>
    <w:p>
      <w:pPr>
        <w:spacing w:after="0" w:line="64" w:lineRule="exact"/>
        <w:rPr>
          <w:sz w:val="20"/>
          <w:szCs w:val="20"/>
          <w:color w:val="auto"/>
        </w:rPr>
      </w:pPr>
    </w:p>
    <w:p>
      <w:pPr>
        <w:jc w:val="center"/>
        <w:ind w:left="292" w:right="331"/>
        <w:spacing w:after="0" w:line="298" w:lineRule="auto"/>
        <w:rPr>
          <w:sz w:val="20"/>
          <w:szCs w:val="20"/>
          <w:color w:val="auto"/>
        </w:rPr>
      </w:pPr>
      <w:r>
        <w:rPr>
          <w:rFonts w:ascii="Times New Roman" w:cs="Times New Roman" w:eastAsia="Times New Roman" w:hAnsi="Times New Roman"/>
          <w:sz w:val="25"/>
          <w:szCs w:val="25"/>
          <w:b w:val="1"/>
          <w:bCs w:val="1"/>
          <w:color w:val="FF5715"/>
        </w:rPr>
        <w:t>OUR BOARD OF DIRECTORS RECOMMENDS A VOTE “FOR” EACH CLASS III DIRECTOR NOMINEE NAMED ABOVE.</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1204" w:right="1440"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INFORMATION REGARDING</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t>DIRECTOR NOMINEES AND CURRENT DIRECTORS</w:t>
      </w:r>
    </w:p>
    <w:p>
      <w:pPr>
        <w:spacing w:after="0" w:line="226"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the Class III nominees at the Annual Meeting, their ages, positions held and length of service as of the date of this Proxy Statement. The brief biographies below include information, as of the date of this Proxy Statement, regarding the specific and particular experience, qualifications, attributes or skills that led the nominating and governance committee to believe that each director nominee should continue to serve on the board of directors. There are no family relationships among any of our executive officers or directors.</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74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04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0"/>
        </w:trPr>
        <w:tc>
          <w:tcPr>
            <w:tcW w:w="2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240" w:type="dxa"/>
            <w:vAlign w:val="bottom"/>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Age</w:t>
            </w:r>
          </w:p>
        </w:tc>
        <w:tc>
          <w:tcPr>
            <w:tcW w:w="92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2740" w:type="dxa"/>
            <w:vAlign w:val="bottom"/>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Held</w:t>
            </w:r>
          </w:p>
        </w:tc>
        <w:tc>
          <w:tcPr>
            <w:tcW w:w="104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31"/>
        </w:trPr>
        <w:tc>
          <w:tcPr>
            <w:tcW w:w="2480" w:type="dxa"/>
            <w:vAlign w:val="bottom"/>
            <w:tcBorders>
              <w:bottom w:val="single" w:sz="8" w:color="FF5715"/>
            </w:tcBorders>
            <w:vMerge w:val="continue"/>
          </w:tcPr>
          <w:p>
            <w:pPr>
              <w:spacing w:after="0"/>
              <w:rPr>
                <w:sz w:val="2"/>
                <w:szCs w:val="2"/>
                <w:color w:val="auto"/>
              </w:rPr>
            </w:pPr>
          </w:p>
        </w:tc>
        <w:tc>
          <w:tcPr>
            <w:tcW w:w="1240" w:type="dxa"/>
            <w:vAlign w:val="bottom"/>
            <w:tcBorders>
              <w:bottom w:val="single" w:sz="8" w:color="FF5715"/>
            </w:tcBorders>
            <w:vMerge w:val="continue"/>
          </w:tcPr>
          <w:p>
            <w:pPr>
              <w:spacing w:after="0"/>
              <w:rPr>
                <w:sz w:val="2"/>
                <w:szCs w:val="2"/>
                <w:color w:val="auto"/>
              </w:rPr>
            </w:pPr>
          </w:p>
        </w:tc>
        <w:tc>
          <w:tcPr>
            <w:tcW w:w="920" w:type="dxa"/>
            <w:vAlign w:val="bottom"/>
            <w:tcBorders>
              <w:bottom w:val="single" w:sz="8" w:color="FF5715"/>
            </w:tcBorders>
          </w:tcPr>
          <w:p>
            <w:pPr>
              <w:spacing w:after="0"/>
              <w:rPr>
                <w:sz w:val="2"/>
                <w:szCs w:val="2"/>
                <w:color w:val="auto"/>
              </w:rPr>
            </w:pPr>
          </w:p>
        </w:tc>
        <w:tc>
          <w:tcPr>
            <w:tcW w:w="2740" w:type="dxa"/>
            <w:vAlign w:val="bottom"/>
            <w:tcBorders>
              <w:bottom w:val="single" w:sz="8" w:color="FF5715"/>
            </w:tcBorders>
          </w:tcPr>
          <w:p>
            <w:pPr>
              <w:spacing w:after="0"/>
              <w:rPr>
                <w:sz w:val="2"/>
                <w:szCs w:val="2"/>
                <w:color w:val="auto"/>
              </w:rPr>
            </w:pPr>
          </w:p>
        </w:tc>
        <w:tc>
          <w:tcPr>
            <w:tcW w:w="1040" w:type="dxa"/>
            <w:vAlign w:val="bottom"/>
            <w:tcBorders>
              <w:bottom w:val="single" w:sz="8" w:color="FF5715"/>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8"/>
                <w:szCs w:val="18"/>
                <w:color w:val="auto"/>
              </w:rPr>
              <w:t>Lawrence Hilsheimer</w:t>
            </w:r>
          </w:p>
        </w:tc>
        <w:tc>
          <w:tcPr>
            <w:tcW w:w="1240" w:type="dxa"/>
            <w:vAlign w:val="bottom"/>
            <w:shd w:val="clear" w:color="auto" w:fill="DBDBDB"/>
          </w:tcPr>
          <w:p>
            <w:pPr>
              <w:jc w:val="center"/>
              <w:ind w:left="295"/>
              <w:spacing w:after="0"/>
              <w:rPr>
                <w:sz w:val="20"/>
                <w:szCs w:val="20"/>
                <w:color w:val="auto"/>
              </w:rPr>
            </w:pPr>
            <w:r>
              <w:rPr>
                <w:rFonts w:ascii="Times New Roman" w:cs="Times New Roman" w:eastAsia="Times New Roman" w:hAnsi="Times New Roman"/>
                <w:sz w:val="18"/>
                <w:szCs w:val="18"/>
                <w:color w:val="auto"/>
                <w:w w:val="99"/>
              </w:rPr>
              <w:t>68</w:t>
            </w:r>
          </w:p>
        </w:tc>
        <w:tc>
          <w:tcPr>
            <w:tcW w:w="920" w:type="dxa"/>
            <w:vAlign w:val="bottom"/>
            <w:shd w:val="clear" w:color="auto" w:fill="DBDBDB"/>
          </w:tcPr>
          <w:p>
            <w:pPr>
              <w:jc w:val="center"/>
              <w:ind w:left="77"/>
              <w:spacing w:after="0"/>
              <w:rPr>
                <w:sz w:val="20"/>
                <w:szCs w:val="20"/>
                <w:color w:val="auto"/>
              </w:rPr>
            </w:pPr>
            <w:r>
              <w:rPr>
                <w:rFonts w:ascii="Times New Roman" w:cs="Times New Roman" w:eastAsia="Times New Roman" w:hAnsi="Times New Roman"/>
                <w:sz w:val="18"/>
                <w:szCs w:val="18"/>
                <w:color w:val="auto"/>
                <w:w w:val="99"/>
              </w:rPr>
              <w:t>2026</w:t>
            </w:r>
          </w:p>
        </w:tc>
        <w:tc>
          <w:tcPr>
            <w:tcW w:w="2740" w:type="dxa"/>
            <w:vAlign w:val="bottom"/>
            <w:shd w:val="clear" w:color="auto" w:fill="DBDBDB"/>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shd w:val="clear" w:color="auto" w:fill="DBDBDB"/>
          </w:tcPr>
          <w:p>
            <w:pPr>
              <w:jc w:val="center"/>
              <w:ind w:left="37"/>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57"/>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Alexander Timm</w:t>
            </w:r>
          </w:p>
        </w:tc>
        <w:tc>
          <w:tcPr>
            <w:tcW w:w="124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9"/>
              </w:rPr>
              <w:t>37</w:t>
            </w:r>
          </w:p>
        </w:tc>
        <w:tc>
          <w:tcPr>
            <w:tcW w:w="92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2026</w:t>
            </w: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Co-Founder, CEO and Director</w:t>
            </w:r>
          </w:p>
        </w:tc>
        <w:tc>
          <w:tcPr>
            <w:tcW w:w="104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57"/>
        </w:trPr>
        <w:tc>
          <w:tcPr>
            <w:tcW w:w="248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8"/>
                <w:szCs w:val="18"/>
                <w:color w:val="auto"/>
              </w:rPr>
              <w:t>Douglas Ulman</w:t>
            </w:r>
          </w:p>
        </w:tc>
        <w:tc>
          <w:tcPr>
            <w:tcW w:w="1240" w:type="dxa"/>
            <w:vAlign w:val="bottom"/>
            <w:shd w:val="clear" w:color="auto" w:fill="DBDBDB"/>
          </w:tcPr>
          <w:p>
            <w:pPr>
              <w:jc w:val="center"/>
              <w:ind w:left="295"/>
              <w:spacing w:after="0"/>
              <w:rPr>
                <w:sz w:val="20"/>
                <w:szCs w:val="20"/>
                <w:color w:val="auto"/>
              </w:rPr>
            </w:pPr>
            <w:r>
              <w:rPr>
                <w:rFonts w:ascii="Times New Roman" w:cs="Times New Roman" w:eastAsia="Times New Roman" w:hAnsi="Times New Roman"/>
                <w:sz w:val="18"/>
                <w:szCs w:val="18"/>
                <w:color w:val="auto"/>
                <w:w w:val="99"/>
              </w:rPr>
              <w:t>48</w:t>
            </w:r>
          </w:p>
        </w:tc>
        <w:tc>
          <w:tcPr>
            <w:tcW w:w="920" w:type="dxa"/>
            <w:vAlign w:val="bottom"/>
            <w:shd w:val="clear" w:color="auto" w:fill="DBDBDB"/>
          </w:tcPr>
          <w:p>
            <w:pPr>
              <w:jc w:val="center"/>
              <w:ind w:left="77"/>
              <w:spacing w:after="0"/>
              <w:rPr>
                <w:sz w:val="20"/>
                <w:szCs w:val="20"/>
                <w:color w:val="auto"/>
              </w:rPr>
            </w:pPr>
            <w:r>
              <w:rPr>
                <w:rFonts w:ascii="Times New Roman" w:cs="Times New Roman" w:eastAsia="Times New Roman" w:hAnsi="Times New Roman"/>
                <w:sz w:val="18"/>
                <w:szCs w:val="18"/>
                <w:color w:val="auto"/>
                <w:w w:val="99"/>
              </w:rPr>
              <w:t>2026</w:t>
            </w:r>
          </w:p>
        </w:tc>
        <w:tc>
          <w:tcPr>
            <w:tcW w:w="2740" w:type="dxa"/>
            <w:vAlign w:val="bottom"/>
            <w:shd w:val="clear" w:color="auto" w:fill="DBDBDB"/>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shd w:val="clear" w:color="auto" w:fill="DBDBDB"/>
          </w:tcPr>
          <w:p>
            <w:pPr>
              <w:jc w:val="center"/>
              <w:ind w:left="37"/>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Nominees for Election at the 2026 Annual Meeting of Stockholders</w:t>
      </w:r>
    </w:p>
    <w:p>
      <w:pPr>
        <w:spacing w:after="0" w:line="231"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Lawrence Hilsheimer. </w:t>
      </w:r>
      <w:r>
        <w:rPr>
          <w:rFonts w:ascii="Times New Roman" w:cs="Times New Roman" w:eastAsia="Times New Roman" w:hAnsi="Times New Roman"/>
          <w:sz w:val="17"/>
          <w:szCs w:val="17"/>
          <w:color w:val="auto"/>
        </w:rPr>
        <w:t>Mr. Hilsheimer has served as a member of our board of directors since October 2020. Since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2014, Mr. Hilsheimer has served as Executive Vice President and Chief Financial Officer of Greif, Inc. (NYSE: GEF), an industrial manufacturing company. From April 2013 to April 2014, Mr. Hilsheimer served as Executive Vice President and Chief Financial Officer of The Scotts Miracle-Gro Company (NYSE: SMG), a multinational supplier of consumer gardening products. From October 2007 to March 2013, Mr. Hilsheimer served in various executive roles with Nationwide Mutual Insurance Company, beginning as EVP/CFO, then as President and Chief Operating Officer of Nationwide Direct and Customer Solutions with responsibility for its direct to consumer sales and service, Nationwide Bank and Nationwide Better Health, before taking on the role of President and Chief Operating Officer of Nationwide Retirement Plans with continuing responsibility for Nationwide Bank. Prior to Nationwide, Mr. Hilsheimer served at Deloitte from 1979 through 2007, as a partner from 1988 through 2007, including as a Vice Chairman from 2005 through 2007. Mr. Hilsheimer is a director and Chairman of the Audit Committee of Installed Building Products, Inc. (NYSE: IBP), an installer of insulation products. Since 2017, Mr. Hilsheimer has served as a director of Root Insurance Company, a subsidiary of the Company, and served as Chairman of its Audit Committee until such committee was dissolved in January 2021. Mr. Hilsheimer is certified in cybersecurity oversight by the National Association of Corporate Directors. We believe Mr. Hilsheimer is qualified to serve on our board of directors due to his management experience, his experience in the insurance industry, as a chief financial officer and as an audit committee chairperson, and his existing relationship with the Company.</w:t>
      </w:r>
    </w:p>
    <w:p>
      <w:pPr>
        <w:spacing w:after="0" w:line="395"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Alexander Timm. </w:t>
      </w:r>
      <w:r>
        <w:rPr>
          <w:rFonts w:ascii="Times New Roman" w:cs="Times New Roman" w:eastAsia="Times New Roman" w:hAnsi="Times New Roman"/>
          <w:sz w:val="18"/>
          <w:szCs w:val="18"/>
          <w:color w:val="auto"/>
        </w:rPr>
        <w:t>Mr. Timm has served as our Co-Founder, CEO and a member of our board of directors since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in March 2015. From August 2011 to March 2015, Mr. Timm served in various management roles at Nationwide Mutual Insurance Company, an insurance and financial services company. Mr. Timm served as a member of the board of directors of GoHealth, Inc. (Nasdaq: GOCO), a digital health insurance marketplace, from 2020 to 2025. He is a 2023 Aspen Institute Henry Crown Fellow. He holds a Bachelor of Science and Bachelor of Arts in Actuarial Science, Accounting and Mathematics from Drake University. He is also a fellow of the Casualty Actuarial Society. We believe Mr. Timm is qualified to serve on our board of directors due to his perspective and experience as our Co-Founder and CEO, as well as his experience in the insurance industry.</w:t>
      </w:r>
    </w:p>
    <w:p>
      <w:pPr>
        <w:spacing w:after="0" w:line="185"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Douglas Ulman. </w:t>
      </w:r>
      <w:r>
        <w:rPr>
          <w:rFonts w:ascii="Times New Roman" w:cs="Times New Roman" w:eastAsia="Times New Roman" w:hAnsi="Times New Roman"/>
          <w:sz w:val="17"/>
          <w:szCs w:val="17"/>
          <w:color w:val="auto"/>
        </w:rPr>
        <w:t>Mr. Ulman has served as a member of our board of directors since December 2016. He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serves as Vice Chair of the Board of Pelotonia, a nonprofit based in Columbus, Ohio that has raised more than $360 million for cancer research since 2009. From December 2014 to January 2024, Mr. Ulman served as Chief Executive Officer of Pelotonia. From 2008 to December 2014, he served as the President and Chief Executive Officer of The LIVESTRONG Foundation. A social entrepreneur and community builder, Mr. Ulman founded the Ulman Cancer Fund for Young Adults (now the Ulman Foundation) after his own cancer diagnosis. He also founded Orli, an impact investment firm and philanthropic advisory platform, in 2022. He serves as the Chair of Signal Ohio’s board and is a member of both The Columbus Partnership and Young Presidents’ Organization (YPO). He recently served as a Hauser Fellow at Harvard University Kennedy School Center for Public Leadership. He holds a Bachelor of Arts from Brown University and completed the Executive Program in Leadership at Stanford University. We believe Mr. Ulman is qualified to serve on our board of directors due to his experience in executive leadership roles.</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204"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Information About Our Continuing Directors</w:t>
      </w:r>
    </w:p>
    <w:p>
      <w:pPr>
        <w:spacing w:after="0" w:line="246" w:lineRule="exact"/>
        <w:rPr>
          <w:sz w:val="20"/>
          <w:szCs w:val="20"/>
          <w:color w:val="auto"/>
        </w:rPr>
      </w:pPr>
    </w:p>
    <w:p>
      <w:pPr>
        <w:ind w:left="300" w:right="559"/>
        <w:spacing w:after="0" w:line="281" w:lineRule="auto"/>
        <w:rPr>
          <w:sz w:val="20"/>
          <w:szCs w:val="20"/>
          <w:color w:val="auto"/>
        </w:rPr>
      </w:pPr>
      <w:r>
        <w:rPr>
          <w:rFonts w:ascii="Times New Roman" w:cs="Times New Roman" w:eastAsia="Times New Roman" w:hAnsi="Times New Roman"/>
          <w:sz w:val="17"/>
          <w:szCs w:val="17"/>
          <w:color w:val="auto"/>
        </w:rPr>
        <w:t>The following table sets forth, for the remaining members of our board of directors whose terms continue beyond the Annual Meeting, their ages, positions held and length of service as of the date of this Proxy Statement. The principal occupation, business experience and education of each continuing director are set forth below. Unless otherwise indicated, principal occupations shown for each director have extended for five or more years.</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480" w:type="dxa"/>
            <w:vAlign w:val="bottom"/>
          </w:tcPr>
          <w:p>
            <w:pPr>
              <w:spacing w:after="0"/>
              <w:rPr>
                <w:sz w:val="15"/>
                <w:szCs w:val="15"/>
                <w:color w:val="auto"/>
              </w:rPr>
            </w:pPr>
          </w:p>
        </w:tc>
        <w:tc>
          <w:tcPr>
            <w:tcW w:w="1740" w:type="dxa"/>
            <w:vAlign w:val="bottom"/>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180"/>
        </w:trPr>
        <w:tc>
          <w:tcPr>
            <w:tcW w:w="1780" w:type="dxa"/>
            <w:vAlign w:val="bottom"/>
            <w:tcBorders>
              <w:bottom w:val="single" w:sz="8" w:color="FF5715"/>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Continuing Directors</w:t>
            </w:r>
          </w:p>
        </w:tc>
        <w:tc>
          <w:tcPr>
            <w:tcW w:w="5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74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3480" w:type="dxa"/>
            <w:vAlign w:val="bottom"/>
            <w:tcBorders>
              <w:bottom w:val="single" w:sz="8" w:color="FF5715"/>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740" w:type="dxa"/>
            <w:vAlign w:val="bottom"/>
            <w:tcBorders>
              <w:bottom w:val="single" w:sz="8" w:color="FF5715"/>
            </w:tcBorders>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Since</w:t>
            </w:r>
          </w:p>
        </w:tc>
      </w:tr>
      <w:tr>
        <w:trPr>
          <w:trHeight w:val="243"/>
        </w:trPr>
        <w:tc>
          <w:tcPr>
            <w:tcW w:w="178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8"/>
                <w:szCs w:val="18"/>
                <w:color w:val="auto"/>
              </w:rPr>
              <w:t>Beth Birnbaum</w:t>
            </w:r>
          </w:p>
        </w:tc>
        <w:tc>
          <w:tcPr>
            <w:tcW w:w="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3480" w:type="dxa"/>
            <w:vAlign w:val="bottom"/>
            <w:shd w:val="clear" w:color="auto" w:fill="DBDBDB"/>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shd w:val="clear" w:color="auto" w:fill="DBDBDB"/>
          </w:tcPr>
          <w:p>
            <w:pPr>
              <w:jc w:val="center"/>
              <w:ind w:left="535"/>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50"/>
        </w:trPr>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Donna Dorsey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63"/>
        </w:trPr>
        <w:tc>
          <w:tcPr>
            <w:tcW w:w="178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8"/>
                <w:szCs w:val="18"/>
                <w:color w:val="auto"/>
              </w:rPr>
              <w:t>Julie Szudarek</w:t>
            </w:r>
          </w:p>
        </w:tc>
        <w:tc>
          <w:tcPr>
            <w:tcW w:w="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7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3480" w:type="dxa"/>
            <w:vAlign w:val="bottom"/>
            <w:shd w:val="clear" w:color="auto" w:fill="DBDBDB"/>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shd w:val="clear" w:color="auto" w:fill="DBDBDB"/>
          </w:tcPr>
          <w:p>
            <w:pPr>
              <w:jc w:val="center"/>
              <w:ind w:left="535"/>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50"/>
        </w:trPr>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Jerri DeVard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3"/>
        </w:trPr>
        <w:tc>
          <w:tcPr>
            <w:tcW w:w="1780" w:type="dxa"/>
            <w:vAlign w:val="bottom"/>
            <w:shd w:val="clear" w:color="auto" w:fill="DBDBDB"/>
          </w:tcPr>
          <w:p>
            <w:pPr>
              <w:ind w:left="260"/>
              <w:spacing w:after="0"/>
              <w:rPr>
                <w:sz w:val="20"/>
                <w:szCs w:val="20"/>
                <w:color w:val="auto"/>
              </w:rPr>
            </w:pPr>
            <w:r>
              <w:rPr>
                <w:rFonts w:ascii="Times New Roman" w:cs="Times New Roman" w:eastAsia="Times New Roman" w:hAnsi="Times New Roman"/>
                <w:sz w:val="18"/>
                <w:szCs w:val="18"/>
                <w:color w:val="auto"/>
              </w:rPr>
              <w:t>Nancy Kramer</w:t>
            </w:r>
          </w:p>
        </w:tc>
        <w:tc>
          <w:tcPr>
            <w:tcW w:w="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7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3480" w:type="dxa"/>
            <w:vAlign w:val="bottom"/>
            <w:shd w:val="clear" w:color="auto" w:fill="DBDBDB"/>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shd w:val="clear" w:color="auto" w:fill="DBDBDB"/>
          </w:tcPr>
          <w:p>
            <w:pPr>
              <w:jc w:val="center"/>
              <w:ind w:left="535"/>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Until the 2027 Annual Meeting of Stockholders</w:t>
      </w:r>
    </w:p>
    <w:p>
      <w:pPr>
        <w:spacing w:after="0" w:line="2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Beth Birnbaum. </w:t>
      </w:r>
      <w:r>
        <w:rPr>
          <w:rFonts w:ascii="Times New Roman" w:cs="Times New Roman" w:eastAsia="Times New Roman" w:hAnsi="Times New Roman"/>
          <w:sz w:val="18"/>
          <w:szCs w:val="18"/>
          <w:color w:val="auto"/>
        </w:rPr>
        <w:t>Ms. Birnbaum has served on our board of directors since March 2022. Ms. Birnbaum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Chief Operating Officer of Mudstack, Inc., a platform for version control, management and review of digital assets. Previously, Ms. Birnbaum served as Chief Operating Officer at PlayFab, Inc. (“PlayFab”), the backend service platform for gaming acquired by Microsoft Corporation (Nasdaq: MSFT), from 2017 to 2018. Prior to PlayFab, Ms. Birnbaum served in a variety of roles at GrubHub, Inc., from 2011 to 2016, most recently as Senior Vice President of Product. From 2003 to 2011, Ms. Birnbaum served in a variety of roles at Expedia Group, Inc. (Nasdaq: EXPE), an online travel company, most recently as Vice President of Product and Connectivity. Ms. Birnbaum served on the board of directors of John Wiley &amp; Sons, Inc. (NYSE: WLY and WLYB), a publishing company specializing in scientific, technical, and medical books and journals, from 2018 to 2024. She holds a Bachelor of Arts in Economics and International Studies from Yale University and a Master of Business Administration from INSEAD. Ms. Birnbaum is Diligent Climate Leadership Certified. We believe Ms. Birnbaum is qualified to serve on our board of directors due to her extensive operating experience in the technology industry, in particular in the areas of product and general management, and her experience as a former director of another public company.</w:t>
      </w:r>
    </w:p>
    <w:p>
      <w:pPr>
        <w:spacing w:after="0" w:line="13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i w:val="1"/>
          <w:iCs w:val="1"/>
          <w:color w:val="auto"/>
        </w:rPr>
        <w:t>Donna Dorsey</w:t>
      </w:r>
      <w:r>
        <w:rPr>
          <w:rFonts w:ascii="Times New Roman" w:cs="Times New Roman" w:eastAsia="Times New Roman" w:hAnsi="Times New Roman"/>
          <w:sz w:val="18"/>
          <w:szCs w:val="18"/>
          <w:color w:val="auto"/>
        </w:rPr>
        <w:t>. Ms. Dorsey has served as a member of our board of directors since October 2023. Since June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Dorsey has served as Chief Human Resources Officer of Alight Solutions, LLC, a leading cloud-based human capital and technology-enabled services provider that helps large employers administer employee benefits and manage human resources, health, wealth, well-being, and related workforce services. From 2015 to May 2025, Ms. Dorsey served as Executive Vice President and Chief People &amp; Culture Officer for International Motors, LLC (“International Motors”), a manufacturer of commercial transportation vehicles. In this role, she was responsible for all aspects of human resource strategy and provided strategic business and human capital leadership that drove change and innovation at the company. Prior to that role, Ms. Dorsey led strategic human capital direction for all business operations at International Motors while overseeing International Motors’ team of human capital business partners. She holds a Bachelor of Arts in Political Science from Rutgers University and a Juris Doctor from Chicago-Kent College of Law with a certification in labor and employment law. We believe Ms. Dorsey is qualified to serve on our board of directors due to her extensive experience in the human capital management field, with an emphasis on change and innovation.</w:t>
      </w:r>
    </w:p>
    <w:p>
      <w:pPr>
        <w:spacing w:after="0" w:line="133"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Julie Szudarek. </w:t>
      </w:r>
      <w:r>
        <w:rPr>
          <w:rFonts w:ascii="Times New Roman" w:cs="Times New Roman" w:eastAsia="Times New Roman" w:hAnsi="Times New Roman"/>
          <w:sz w:val="17"/>
          <w:szCs w:val="17"/>
          <w:color w:val="auto"/>
        </w:rPr>
        <w:t>Ms. Szudarek has served as a member of our board of directors since July 2022. From October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March 2026, Ms. Szudarek served as the Chief Executive Officer of Self Financial, Inc. (“Self”), a credit building platform working to increase economic inclusion and financial resilience through products that make building credit accessible. Prior to joining Self, Ms. Szudarek served as Chief Executive Officer of Atida Mifarma (“Atida”), one of the largest online pharmacies in Europe, from 2019 to January 2023. Before joining Atida, Ms. Szudarek held senior leadership roles at Groupon Inc. (Nasdaq: GRPN) (“Groupon”), an online commerce marketplace, in sales, operations, logistics, and administration from 2011 to 2018. Prior to Groupon, she served in a variety of roles at Orbitz Worldwide, Inc. (acquired by Expedia), an online travel company, from 2005 to 2011. Earlier in her career, Ms. Szudarek worked in management consulting at Accenture plc (formerly Andersen Consulting), a global professional services company. Ms. Szudarek holds a Bachelor of Arts in Finance from Indiana University and a</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019"/>
          </w:cols>
          <w:pgMar w:left="1440" w:top="1215" w:right="1440" w:bottom="1440" w:gutter="0" w:footer="0" w:header="0"/>
          <w:type w:val="continuous"/>
        </w:sectPr>
      </w:pPr>
    </w:p>
    <w:bookmarkStart w:id="16" w:name="page17"/>
    <w:bookmarkEnd w:id="16"/>
    <w:p>
      <w:pPr>
        <w:ind w:left="300" w:right="31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Master of Business Administration from the University of Michigan. We believe Ms. Szudarek is qualified to serve on our board of directors due to her experience driving e-commerce and technology-enabled businesses, including as a former Chief Executive Officer.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Until the 2028 Annual Meeting of Stockholders</w:t>
      </w:r>
    </w:p>
    <w:p>
      <w:pPr>
        <w:spacing w:after="0" w:line="227"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Jerri DeVard. </w:t>
      </w:r>
      <w:r>
        <w:rPr>
          <w:rFonts w:ascii="Times New Roman" w:cs="Times New Roman" w:eastAsia="Times New Roman" w:hAnsi="Times New Roman"/>
          <w:sz w:val="18"/>
          <w:szCs w:val="18"/>
          <w:color w:val="auto"/>
        </w:rPr>
        <w:t>Ms. DeVard has served as a member of our board of directors since October 2020. She is the 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Black Executive CMO Alliance (BECA), an alliance designed to champion corporate diversity and help build the next generation of C-suite marketing executives. From January 2018 to March 2020, Ms. DeVard served as EVP, Chief Customer Officer of Office Depot, Inc. (“Office Depot”), an office supply retailing company, where she also served as EVP, Chief Marketing Officer from September 2017 to December 2017. Prior to Office Depot, Ms. DeVard served as Senior Vice President and Chief Marketing Officer of The ADT Corporation (NYSE: ADT), a home and business security company, from March 2014 through May 2016. She has also served in senior marketing roles at Nokia Corporation, Verizon Communications Inc., Citibank N.A., Revlon Inc., Harrah’s Entertainment, the Minnesota Vikings and the Pillsbury Company. Ms. DeVard is a graduate of Spelman College and Clark Atlanta University Graduate School of Business. She currently serves on the Board of Directors of Under Armour, Inc. (NYSE: UA), a sports equipment company, Cars.com Inc. (NYSE: CARS), an online automotive classified company, and Dow Inc. (NYSE: DOW), a materials-science and packaging company. From 2016 to 2018, she served as a member of the Board of Directors of ServiceMaster Global Holdings Inc., a residential and commercial services company. We believe Ms. DeVard is qualified to serve on our board of directors due to her experience in executive leadership roles, her marketing expertise and her experience serving on other public company boards of directors.</w:t>
      </w:r>
    </w:p>
    <w:p>
      <w:pPr>
        <w:spacing w:after="0" w:line="14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Nancy Kramer. </w:t>
      </w:r>
      <w:r>
        <w:rPr>
          <w:rFonts w:ascii="Times New Roman" w:cs="Times New Roman" w:eastAsia="Times New Roman" w:hAnsi="Times New Roman"/>
          <w:sz w:val="18"/>
          <w:szCs w:val="18"/>
          <w:color w:val="auto"/>
        </w:rPr>
        <w:t>Ms. Kramer has served as a member of our board of directors since August 2020. Since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she has served as the Global Chief Evangelist of IBM iX (NYSE: IBM), a digital strategy and marketing services division of IBM. She founded Resource/Ammirati, a marketing and creative agency, in 1981 with Apple Computer as her first client, and served dozens of Fortune 500 companies, until its sale to IBM in 2016. In addition to her role on our board of directors, she has served as a director of M/I Homes, Inc. (NYSE: MHO), a home construction company, since 2015. From 2013 to 2015, Ms. Kramer served as a director of Glimcher Realty Trust, a real estate investment trust, until its sale to Washington Prime Group in 2015. She holds a Bachelor of Arts from The Ohio State University. We believe Ms. Kramer is qualified to serve on our board of directors due to her experience in executive management roles and advising venture capital companies as well as her public company director experience.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Board Summary</w:t>
      </w: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3240" w:type="dxa"/>
            <w:vAlign w:val="bottom"/>
            <w:tcBorders>
              <w:bottom w:val="single" w:sz="8" w:color="DBDBDB"/>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120" w:type="dxa"/>
            <w:vAlign w:val="bottom"/>
            <w:tcBorders>
              <w:bottom w:val="single" w:sz="8" w:color="DBDBDB"/>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16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left w:val="single" w:sz="8" w:color="DBDBDB"/>
            </w:tcBorders>
          </w:tcPr>
          <w:p>
            <w:pPr>
              <w:spacing w:after="0"/>
              <w:rPr>
                <w:sz w:val="22"/>
                <w:szCs w:val="22"/>
                <w:color w:val="auto"/>
              </w:rPr>
            </w:pPr>
          </w:p>
        </w:tc>
      </w:tr>
      <w:tr>
        <w:trPr>
          <w:trHeight w:val="236"/>
        </w:trPr>
        <w:tc>
          <w:tcPr>
            <w:tcW w:w="3240" w:type="dxa"/>
            <w:vAlign w:val="bottom"/>
            <w:tcBorders>
              <w:bottom w:val="single" w:sz="8" w:color="DBDBDB"/>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Average Tenure (from IPO)</w:t>
            </w:r>
          </w:p>
        </w:tc>
        <w:tc>
          <w:tcPr>
            <w:tcW w:w="1120" w:type="dxa"/>
            <w:vAlign w:val="bottom"/>
            <w:tcBorders>
              <w:bottom w:val="single" w:sz="8" w:color="DBDBDB"/>
            </w:tcBorders>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4.7 Years</w:t>
            </w:r>
          </w:p>
        </w:tc>
        <w:tc>
          <w:tcPr>
            <w:tcW w:w="16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left w:val="single" w:sz="8" w:color="DBDBDB"/>
            </w:tcBorders>
          </w:tcPr>
          <w:p>
            <w:pPr>
              <w:spacing w:after="0"/>
              <w:rPr>
                <w:sz w:val="20"/>
                <w:szCs w:val="20"/>
                <w:color w:val="auto"/>
              </w:rPr>
            </w:pPr>
          </w:p>
        </w:tc>
      </w:tr>
      <w:tr>
        <w:trPr>
          <w:trHeight w:val="264"/>
        </w:trPr>
        <w:tc>
          <w:tcPr>
            <w:tcW w:w="3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324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120" w:type="dxa"/>
            <w:vAlign w:val="bottom"/>
            <w:tcBorders>
              <w:bottom w:val="single" w:sz="8" w:color="FF5715"/>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60" w:type="dxa"/>
            <w:vAlign w:val="bottom"/>
            <w:tcBorders>
              <w:bottom w:val="single" w:sz="8" w:color="FF5715"/>
            </w:tcBorders>
            <w:shd w:val="clear" w:color="auto" w:fill="DBDBDB"/>
          </w:tcPr>
          <w:p>
            <w:pPr>
              <w:spacing w:after="0"/>
              <w:rPr>
                <w:sz w:val="21"/>
                <w:szCs w:val="21"/>
                <w:color w:val="auto"/>
              </w:rPr>
            </w:pPr>
          </w:p>
        </w:tc>
        <w:tc>
          <w:tcPr>
            <w:tcW w:w="1300" w:type="dxa"/>
            <w:vAlign w:val="bottom"/>
            <w:tcBorders>
              <w:bottom w:val="single" w:sz="8" w:color="FF5715"/>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43"/>
        </w:trPr>
        <w:tc>
          <w:tcPr>
            <w:tcW w:w="3240" w:type="dxa"/>
            <w:vAlign w:val="bottom"/>
            <w:tcBorders>
              <w:bottom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Gender Identity</w:t>
            </w:r>
          </w:p>
        </w:tc>
        <w:tc>
          <w:tcPr>
            <w:tcW w:w="1120" w:type="dxa"/>
            <w:vAlign w:val="bottom"/>
            <w:tcBorders>
              <w:bottom w:val="single" w:sz="8" w:color="DBDBDB"/>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color w:val="auto"/>
                <w:w w:val="88"/>
              </w:rPr>
              <w:t>5</w:t>
            </w:r>
          </w:p>
        </w:tc>
        <w:tc>
          <w:tcPr>
            <w:tcW w:w="16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6"/>
        </w:trPr>
        <w:tc>
          <w:tcPr>
            <w:tcW w:w="3240" w:type="dxa"/>
            <w:vAlign w:val="bottom"/>
            <w:tcBorders>
              <w:bottom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120" w:type="dxa"/>
            <w:vAlign w:val="bottom"/>
            <w:tcBorders>
              <w:bottom w:val="single" w:sz="8" w:color="DBDBDB"/>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3240" w:type="dxa"/>
            <w:vAlign w:val="bottom"/>
            <w:tcBorders>
              <w:bottom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DBDBDB"/>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bottom w:val="single" w:sz="8" w:color="DBDBDB"/>
            </w:tcBorders>
            <w:shd w:val="clear" w:color="auto" w:fill="DBDBDB"/>
          </w:tcPr>
          <w:p>
            <w:pPr>
              <w:spacing w:after="0"/>
              <w:rPr>
                <w:sz w:val="20"/>
                <w:szCs w:val="20"/>
                <w:color w:val="auto"/>
              </w:rPr>
            </w:pPr>
          </w:p>
        </w:tc>
        <w:tc>
          <w:tcPr>
            <w:tcW w:w="130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37"/>
        </w:trPr>
        <w:tc>
          <w:tcPr>
            <w:tcW w:w="3240" w:type="dxa"/>
            <w:vAlign w:val="bottom"/>
            <w:tcBorders>
              <w:bottom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tcBorders>
              <w:bottom w:val="single" w:sz="8" w:color="DBDBDB"/>
            </w:tcBorders>
          </w:tcPr>
          <w:p>
            <w:pPr>
              <w:spacing w:after="0"/>
              <w:rPr>
                <w:sz w:val="20"/>
                <w:szCs w:val="20"/>
                <w:color w:val="auto"/>
              </w:rPr>
            </w:pPr>
          </w:p>
        </w:tc>
        <w:tc>
          <w:tcPr>
            <w:tcW w:w="1460" w:type="dxa"/>
            <w:vAlign w:val="bottom"/>
            <w:tcBorders>
              <w:bottom w:val="single" w:sz="8" w:color="DBDBDB"/>
            </w:tcBorders>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228"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Board Skills Matrix</w:t>
      </w:r>
    </w:p>
    <w:p>
      <w:pPr>
        <w:spacing w:after="0" w:line="29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Skills and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Alexander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Lawrence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Douglas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Nancy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Jerri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Beth</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Julie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Donna</w:t>
            </w:r>
          </w:p>
        </w:tc>
        <w:tc>
          <w:tcPr>
            <w:tcW w:w="0" w:type="dxa"/>
            <w:vAlign w:val="bottom"/>
          </w:tcPr>
          <w:p>
            <w:pPr>
              <w:spacing w:after="0"/>
              <w:rPr>
                <w:sz w:val="1"/>
                <w:szCs w:val="1"/>
                <w:color w:val="auto"/>
              </w:rPr>
            </w:pPr>
          </w:p>
        </w:tc>
      </w:tr>
      <w:tr>
        <w:trPr>
          <w:trHeight w:val="218"/>
        </w:trPr>
        <w:tc>
          <w:tcPr>
            <w:tcW w:w="1580" w:type="dxa"/>
            <w:vAlign w:val="bottom"/>
            <w:tcBorders>
              <w:bottom w:val="single" w:sz="8" w:color="FF5715"/>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Experience</w:t>
            </w:r>
          </w:p>
        </w:tc>
        <w:tc>
          <w:tcPr>
            <w:tcW w:w="9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Timm</w:t>
            </w:r>
          </w:p>
        </w:tc>
        <w:tc>
          <w:tcPr>
            <w:tcW w:w="9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Hilsheimer</w:t>
            </w:r>
          </w:p>
        </w:tc>
        <w:tc>
          <w:tcPr>
            <w:tcW w:w="7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Ulman</w:t>
            </w:r>
          </w:p>
        </w:tc>
        <w:tc>
          <w:tcPr>
            <w:tcW w:w="1420" w:type="dxa"/>
            <w:vAlign w:val="bottom"/>
            <w:tcBorders>
              <w:bottom w:val="single" w:sz="8" w:color="FF5715"/>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Kramer DeVard</w:t>
            </w:r>
          </w:p>
        </w:tc>
        <w:tc>
          <w:tcPr>
            <w:tcW w:w="9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Birnbaum</w:t>
            </w:r>
          </w:p>
        </w:tc>
        <w:tc>
          <w:tcPr>
            <w:tcW w:w="8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Szudarek</w:t>
            </w:r>
          </w:p>
        </w:tc>
        <w:tc>
          <w:tcPr>
            <w:tcW w:w="64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Dorsey</w:t>
            </w:r>
          </w:p>
        </w:tc>
        <w:tc>
          <w:tcPr>
            <w:tcW w:w="0" w:type="dxa"/>
            <w:vAlign w:val="bottom"/>
          </w:tcPr>
          <w:p>
            <w:pPr>
              <w:spacing w:after="0"/>
              <w:rPr>
                <w:sz w:val="1"/>
                <w:szCs w:val="1"/>
                <w:color w:val="auto"/>
              </w:rPr>
            </w:pPr>
          </w:p>
        </w:tc>
      </w:tr>
      <w:tr>
        <w:trPr>
          <w:trHeight w:val="324"/>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C-Suite Executive</w:t>
            </w:r>
          </w:p>
        </w:tc>
        <w:tc>
          <w:tcPr>
            <w:tcW w:w="90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86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90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shd w:val="clear" w:color="auto" w:fill="DBDBDB"/>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shd w:val="clear" w:color="auto" w:fill="DBDBDB"/>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Finance/Accounting</w:t>
            </w:r>
          </w:p>
        </w:tc>
        <w:tc>
          <w:tcPr>
            <w:tcW w:w="90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shd w:val="clear" w:color="auto" w:fill="DBDBDB"/>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00" w:type="dxa"/>
            <w:vAlign w:val="bottom"/>
          </w:tcPr>
          <w:p>
            <w:pPr>
              <w:spacing w:after="0"/>
              <w:rPr>
                <w:sz w:val="24"/>
                <w:szCs w:val="24"/>
                <w:color w:val="auto"/>
              </w:rPr>
            </w:pPr>
          </w:p>
        </w:tc>
        <w:tc>
          <w:tcPr>
            <w:tcW w:w="86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Technology/Cyber</w:t>
            </w:r>
          </w:p>
        </w:tc>
        <w:tc>
          <w:tcPr>
            <w:tcW w:w="90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shd w:val="clear" w:color="auto" w:fill="DBDBDB"/>
          </w:tcPr>
          <w:p>
            <w:pPr>
              <w:spacing w:after="0"/>
              <w:rPr>
                <w:sz w:val="24"/>
                <w:szCs w:val="24"/>
                <w:color w:val="auto"/>
              </w:rPr>
            </w:pP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shd w:val="clear" w:color="auto" w:fill="DBDBDB"/>
          </w:tcPr>
          <w:p>
            <w:pPr>
              <w:spacing w:after="0"/>
              <w:rPr>
                <w:sz w:val="24"/>
                <w:szCs w:val="24"/>
                <w:color w:val="auto"/>
              </w:rPr>
            </w:pPr>
          </w:p>
        </w:tc>
        <w:tc>
          <w:tcPr>
            <w:tcW w:w="9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86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Human Capital</w:t>
            </w:r>
          </w:p>
        </w:tc>
        <w:tc>
          <w:tcPr>
            <w:tcW w:w="900" w:type="dxa"/>
            <w:vAlign w:val="bottom"/>
            <w:shd w:val="clear" w:color="auto" w:fill="DBDBDB"/>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shd w:val="clear" w:color="auto" w:fill="DBDBDB"/>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Innovation</w:t>
            </w:r>
          </w:p>
        </w:tc>
        <w:tc>
          <w:tcPr>
            <w:tcW w:w="90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tcPr>
          <w:p>
            <w:pPr>
              <w:spacing w:after="0"/>
              <w:rPr>
                <w:sz w:val="24"/>
                <w:szCs w:val="24"/>
                <w:color w:val="auto"/>
              </w:rPr>
            </w:pPr>
          </w:p>
        </w:tc>
        <w:tc>
          <w:tcPr>
            <w:tcW w:w="78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86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Brand Marketing</w:t>
            </w:r>
          </w:p>
        </w:tc>
        <w:tc>
          <w:tcPr>
            <w:tcW w:w="900" w:type="dxa"/>
            <w:vAlign w:val="bottom"/>
            <w:shd w:val="clear" w:color="auto" w:fill="DBDBDB"/>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00" w:type="dxa"/>
            <w:vAlign w:val="bottom"/>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bottom w:val="single" w:sz="8" w:color="929292"/>
            </w:tcBorders>
          </w:tcPr>
          <w:p>
            <w:pPr>
              <w:spacing w:after="0"/>
              <w:rPr>
                <w:sz w:val="7"/>
                <w:szCs w:val="7"/>
                <w:color w:val="auto"/>
              </w:rPr>
            </w:pPr>
          </w:p>
        </w:tc>
        <w:tc>
          <w:tcPr>
            <w:tcW w:w="900" w:type="dxa"/>
            <w:vAlign w:val="bottom"/>
            <w:tcBorders>
              <w:bottom w:val="single" w:sz="8" w:color="929292"/>
            </w:tcBorders>
            <w:shd w:val="clear" w:color="auto" w:fill="DBDBDB"/>
          </w:tcPr>
          <w:p>
            <w:pPr>
              <w:spacing w:after="0"/>
              <w:rPr>
                <w:sz w:val="7"/>
                <w:szCs w:val="7"/>
                <w:color w:val="auto"/>
              </w:rPr>
            </w:pPr>
          </w:p>
        </w:tc>
        <w:tc>
          <w:tcPr>
            <w:tcW w:w="980" w:type="dxa"/>
            <w:vAlign w:val="bottom"/>
            <w:tcBorders>
              <w:bottom w:val="single" w:sz="8" w:color="929292"/>
            </w:tcBorders>
          </w:tcPr>
          <w:p>
            <w:pPr>
              <w:spacing w:after="0"/>
              <w:rPr>
                <w:sz w:val="7"/>
                <w:szCs w:val="7"/>
                <w:color w:val="auto"/>
              </w:rPr>
            </w:pPr>
          </w:p>
        </w:tc>
        <w:tc>
          <w:tcPr>
            <w:tcW w:w="780" w:type="dxa"/>
            <w:vAlign w:val="bottom"/>
            <w:tcBorders>
              <w:bottom w:val="single" w:sz="8" w:color="929292"/>
            </w:tcBorders>
            <w:shd w:val="clear" w:color="auto" w:fill="DBDBDB"/>
          </w:tcPr>
          <w:p>
            <w:pPr>
              <w:spacing w:after="0"/>
              <w:rPr>
                <w:sz w:val="7"/>
                <w:szCs w:val="7"/>
                <w:color w:val="auto"/>
              </w:rPr>
            </w:pPr>
          </w:p>
        </w:tc>
        <w:tc>
          <w:tcPr>
            <w:tcW w:w="700" w:type="dxa"/>
            <w:vAlign w:val="bottom"/>
            <w:tcBorders>
              <w:bottom w:val="single" w:sz="8" w:color="929292"/>
            </w:tcBorders>
          </w:tcPr>
          <w:p>
            <w:pPr>
              <w:spacing w:after="0"/>
              <w:rPr>
                <w:sz w:val="7"/>
                <w:szCs w:val="7"/>
                <w:color w:val="auto"/>
              </w:rPr>
            </w:pPr>
          </w:p>
        </w:tc>
        <w:tc>
          <w:tcPr>
            <w:tcW w:w="720" w:type="dxa"/>
            <w:vAlign w:val="bottom"/>
            <w:tcBorders>
              <w:bottom w:val="single" w:sz="8" w:color="929292"/>
            </w:tcBorders>
            <w:shd w:val="clear" w:color="auto" w:fill="DBDBDB"/>
          </w:tcPr>
          <w:p>
            <w:pPr>
              <w:spacing w:after="0"/>
              <w:rPr>
                <w:sz w:val="7"/>
                <w:szCs w:val="7"/>
                <w:color w:val="auto"/>
              </w:rPr>
            </w:pPr>
          </w:p>
        </w:tc>
        <w:tc>
          <w:tcPr>
            <w:tcW w:w="900" w:type="dxa"/>
            <w:vAlign w:val="bottom"/>
            <w:tcBorders>
              <w:bottom w:val="single" w:sz="8" w:color="929292"/>
            </w:tcBorders>
          </w:tcPr>
          <w:p>
            <w:pPr>
              <w:spacing w:after="0"/>
              <w:rPr>
                <w:sz w:val="7"/>
                <w:szCs w:val="7"/>
                <w:color w:val="auto"/>
              </w:rPr>
            </w:pPr>
          </w:p>
        </w:tc>
        <w:tc>
          <w:tcPr>
            <w:tcW w:w="860" w:type="dxa"/>
            <w:vAlign w:val="bottom"/>
            <w:tcBorders>
              <w:bottom w:val="single" w:sz="8" w:color="929292"/>
            </w:tcBorders>
            <w:shd w:val="clear" w:color="auto" w:fill="DBDBDB"/>
          </w:tcPr>
          <w:p>
            <w:pPr>
              <w:spacing w:after="0"/>
              <w:rPr>
                <w:sz w:val="7"/>
                <w:szCs w:val="7"/>
                <w:color w:val="auto"/>
              </w:rPr>
            </w:pPr>
          </w:p>
        </w:tc>
        <w:tc>
          <w:tcPr>
            <w:tcW w:w="640" w:type="dxa"/>
            <w:vAlign w:val="bottom"/>
            <w:tcBorders>
              <w:bottom w:val="single" w:sz="8" w:color="929292"/>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Led Business</w:t>
            </w:r>
          </w:p>
        </w:tc>
        <w:tc>
          <w:tcPr>
            <w:tcW w:w="900" w:type="dxa"/>
            <w:vAlign w:val="bottom"/>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860" w:type="dxa"/>
            <w:vAlign w:val="bottom"/>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0" w:type="dxa"/>
            <w:vAlign w:val="bottom"/>
          </w:tcPr>
          <w:p>
            <w:pPr>
              <w:spacing w:after="0"/>
              <w:rPr>
                <w:sz w:val="1"/>
                <w:szCs w:val="1"/>
                <w:color w:val="auto"/>
              </w:rPr>
            </w:pPr>
          </w:p>
        </w:tc>
      </w:tr>
      <w:tr>
        <w:trPr>
          <w:trHeight w:val="120"/>
        </w:trPr>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Transformation</w:t>
            </w:r>
          </w:p>
        </w:tc>
        <w:tc>
          <w:tcPr>
            <w:tcW w:w="900" w:type="dxa"/>
            <w:vAlign w:val="bottom"/>
            <w:vMerge w:val="continue"/>
            <w:shd w:val="clear" w:color="auto" w:fill="DBDBDB"/>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continue"/>
            <w:shd w:val="clear" w:color="auto" w:fill="DBDBDB"/>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continue"/>
            <w:shd w:val="clear" w:color="auto" w:fill="DBDBDB"/>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vMerge w:val="continue"/>
            <w:shd w:val="clear" w:color="auto" w:fill="DBDBDB"/>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580" w:type="dxa"/>
            <w:vAlign w:val="bottom"/>
            <w:vMerge w:val="continue"/>
          </w:tcPr>
          <w:p>
            <w:pPr>
              <w:spacing w:after="0"/>
              <w:rPr>
                <w:sz w:val="12"/>
                <w:szCs w:val="12"/>
                <w:color w:val="auto"/>
              </w:rPr>
            </w:pPr>
          </w:p>
        </w:tc>
        <w:tc>
          <w:tcPr>
            <w:tcW w:w="900" w:type="dxa"/>
            <w:vAlign w:val="bottom"/>
            <w:tcBorders>
              <w:bottom w:val="single" w:sz="8" w:color="DBDBDB"/>
            </w:tcBorders>
            <w:shd w:val="clear" w:color="auto" w:fill="DBDBDB"/>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Borders>
              <w:bottom w:val="single" w:sz="8" w:color="DBDBDB"/>
            </w:tcBorders>
            <w:shd w:val="clear" w:color="auto" w:fill="DBDBDB"/>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Borders>
              <w:bottom w:val="single" w:sz="8" w:color="DBDBDB"/>
            </w:tcBorders>
            <w:shd w:val="clear" w:color="auto" w:fill="DBDBDB"/>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580" w:type="dxa"/>
            <w:vAlign w:val="bottom"/>
            <w:tcBorders>
              <w:top w:val="single" w:sz="8" w:color="929292"/>
            </w:tcBorders>
          </w:tcPr>
          <w:p>
            <w:pPr>
              <w:ind w:left="80"/>
              <w:spacing w:after="0"/>
              <w:rPr>
                <w:sz w:val="20"/>
                <w:szCs w:val="20"/>
                <w:color w:val="auto"/>
              </w:rPr>
            </w:pPr>
            <w:r>
              <w:rPr>
                <w:rFonts w:ascii="Times New Roman" w:cs="Times New Roman" w:eastAsia="Times New Roman" w:hAnsi="Times New Roman"/>
                <w:sz w:val="18"/>
                <w:szCs w:val="18"/>
                <w:color w:val="auto"/>
              </w:rPr>
              <w:t>Gov’t/Regulatory/</w:t>
            </w:r>
          </w:p>
        </w:tc>
        <w:tc>
          <w:tcPr>
            <w:tcW w:w="900" w:type="dxa"/>
            <w:vAlign w:val="bottom"/>
            <w:tcBorders>
              <w:top w:val="single" w:sz="8" w:color="929292"/>
            </w:tcBorders>
            <w:shd w:val="clear" w:color="auto" w:fill="DBDBDB"/>
          </w:tcPr>
          <w:p>
            <w:pPr>
              <w:spacing w:after="0"/>
              <w:rPr>
                <w:sz w:val="20"/>
                <w:szCs w:val="20"/>
                <w:color w:val="auto"/>
              </w:rPr>
            </w:pPr>
          </w:p>
        </w:tc>
        <w:tc>
          <w:tcPr>
            <w:tcW w:w="980" w:type="dxa"/>
            <w:vAlign w:val="bottom"/>
            <w:tcBorders>
              <w:top w:val="single" w:sz="8" w:color="929292"/>
            </w:tcBorders>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tcBorders>
              <w:top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00" w:type="dxa"/>
            <w:vAlign w:val="bottom"/>
            <w:tcBorders>
              <w:top w:val="single" w:sz="8" w:color="929292"/>
            </w:tcBorders>
          </w:tcPr>
          <w:p>
            <w:pPr>
              <w:spacing w:after="0"/>
              <w:rPr>
                <w:sz w:val="20"/>
                <w:szCs w:val="20"/>
                <w:color w:val="auto"/>
              </w:rPr>
            </w:pPr>
          </w:p>
        </w:tc>
        <w:tc>
          <w:tcPr>
            <w:tcW w:w="720" w:type="dxa"/>
            <w:vAlign w:val="bottom"/>
            <w:tcBorders>
              <w:top w:val="single" w:sz="8" w:color="929292"/>
            </w:tcBorders>
            <w:shd w:val="clear" w:color="auto" w:fill="DBDBDB"/>
          </w:tcPr>
          <w:p>
            <w:pPr>
              <w:spacing w:after="0"/>
              <w:rPr>
                <w:sz w:val="20"/>
                <w:szCs w:val="20"/>
                <w:color w:val="auto"/>
              </w:rPr>
            </w:pPr>
          </w:p>
        </w:tc>
        <w:tc>
          <w:tcPr>
            <w:tcW w:w="900" w:type="dxa"/>
            <w:vAlign w:val="bottom"/>
            <w:tcBorders>
              <w:top w:val="single" w:sz="8" w:color="929292"/>
            </w:tcBorders>
          </w:tcPr>
          <w:p>
            <w:pPr>
              <w:spacing w:after="0"/>
              <w:rPr>
                <w:sz w:val="20"/>
                <w:szCs w:val="20"/>
                <w:color w:val="auto"/>
              </w:rPr>
            </w:pPr>
          </w:p>
        </w:tc>
        <w:tc>
          <w:tcPr>
            <w:tcW w:w="860" w:type="dxa"/>
            <w:vAlign w:val="bottom"/>
            <w:tcBorders>
              <w:top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640" w:type="dxa"/>
            <w:vAlign w:val="bottom"/>
            <w:tcBorders>
              <w:top w:val="single" w:sz="8" w:color="929292"/>
            </w:tcBorders>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0" w:type="dxa"/>
            <w:vAlign w:val="bottom"/>
          </w:tcPr>
          <w:p>
            <w:pPr>
              <w:spacing w:after="0"/>
              <w:rPr>
                <w:sz w:val="1"/>
                <w:szCs w:val="1"/>
                <w:color w:val="auto"/>
              </w:rPr>
            </w:pPr>
          </w:p>
        </w:tc>
      </w:tr>
      <w:tr>
        <w:trPr>
          <w:trHeight w:val="120"/>
        </w:trPr>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Legal/Public Policy</w:t>
            </w:r>
          </w:p>
        </w:tc>
        <w:tc>
          <w:tcPr>
            <w:tcW w:w="900" w:type="dxa"/>
            <w:vAlign w:val="bottom"/>
            <w:shd w:val="clear" w:color="auto" w:fill="DBDBDB"/>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continue"/>
            <w:shd w:val="clear" w:color="auto" w:fill="DBDBDB"/>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shd w:val="clear" w:color="auto" w:fill="DBDBDB"/>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vMerge w:val="continue"/>
            <w:shd w:val="clear" w:color="auto" w:fill="DBDBDB"/>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Borders>
              <w:bottom w:val="single" w:sz="8" w:color="929292"/>
            </w:tcBorders>
            <w:vMerge w:val="continue"/>
          </w:tcPr>
          <w:p>
            <w:pPr>
              <w:spacing w:after="0"/>
              <w:rPr>
                <w:sz w:val="10"/>
                <w:szCs w:val="10"/>
                <w:color w:val="auto"/>
              </w:rPr>
            </w:pPr>
          </w:p>
        </w:tc>
        <w:tc>
          <w:tcPr>
            <w:tcW w:w="900" w:type="dxa"/>
            <w:vAlign w:val="bottom"/>
            <w:tcBorders>
              <w:bottom w:val="single" w:sz="8" w:color="929292"/>
            </w:tcBorders>
            <w:shd w:val="clear" w:color="auto" w:fill="DBDBDB"/>
          </w:tcPr>
          <w:p>
            <w:pPr>
              <w:spacing w:after="0"/>
              <w:rPr>
                <w:sz w:val="10"/>
                <w:szCs w:val="10"/>
                <w:color w:val="auto"/>
              </w:rPr>
            </w:pPr>
          </w:p>
        </w:tc>
        <w:tc>
          <w:tcPr>
            <w:tcW w:w="980" w:type="dxa"/>
            <w:vAlign w:val="bottom"/>
            <w:tcBorders>
              <w:bottom w:val="single" w:sz="8" w:color="929292"/>
            </w:tcBorders>
          </w:tcPr>
          <w:p>
            <w:pPr>
              <w:spacing w:after="0"/>
              <w:rPr>
                <w:sz w:val="10"/>
                <w:szCs w:val="10"/>
                <w:color w:val="auto"/>
              </w:rPr>
            </w:pPr>
          </w:p>
        </w:tc>
        <w:tc>
          <w:tcPr>
            <w:tcW w:w="780" w:type="dxa"/>
            <w:vAlign w:val="bottom"/>
            <w:tcBorders>
              <w:bottom w:val="single" w:sz="8" w:color="929292"/>
            </w:tcBorders>
            <w:shd w:val="clear" w:color="auto" w:fill="DBDBDB"/>
          </w:tcPr>
          <w:p>
            <w:pPr>
              <w:spacing w:after="0"/>
              <w:rPr>
                <w:sz w:val="10"/>
                <w:szCs w:val="10"/>
                <w:color w:val="auto"/>
              </w:rPr>
            </w:pPr>
          </w:p>
        </w:tc>
        <w:tc>
          <w:tcPr>
            <w:tcW w:w="700" w:type="dxa"/>
            <w:vAlign w:val="bottom"/>
            <w:tcBorders>
              <w:bottom w:val="single" w:sz="8" w:color="929292"/>
            </w:tcBorders>
          </w:tcPr>
          <w:p>
            <w:pPr>
              <w:spacing w:after="0"/>
              <w:rPr>
                <w:sz w:val="10"/>
                <w:szCs w:val="10"/>
                <w:color w:val="auto"/>
              </w:rPr>
            </w:pPr>
          </w:p>
        </w:tc>
        <w:tc>
          <w:tcPr>
            <w:tcW w:w="720" w:type="dxa"/>
            <w:vAlign w:val="bottom"/>
            <w:tcBorders>
              <w:bottom w:val="single" w:sz="8" w:color="929292"/>
            </w:tcBorders>
            <w:shd w:val="clear" w:color="auto" w:fill="DBDBDB"/>
          </w:tcPr>
          <w:p>
            <w:pPr>
              <w:spacing w:after="0"/>
              <w:rPr>
                <w:sz w:val="10"/>
                <w:szCs w:val="10"/>
                <w:color w:val="auto"/>
              </w:rPr>
            </w:pPr>
          </w:p>
        </w:tc>
        <w:tc>
          <w:tcPr>
            <w:tcW w:w="900" w:type="dxa"/>
            <w:vAlign w:val="bottom"/>
            <w:tcBorders>
              <w:bottom w:val="single" w:sz="8" w:color="929292"/>
            </w:tcBorders>
          </w:tcPr>
          <w:p>
            <w:pPr>
              <w:spacing w:after="0"/>
              <w:rPr>
                <w:sz w:val="10"/>
                <w:szCs w:val="10"/>
                <w:color w:val="auto"/>
              </w:rPr>
            </w:pPr>
          </w:p>
        </w:tc>
        <w:tc>
          <w:tcPr>
            <w:tcW w:w="860" w:type="dxa"/>
            <w:vAlign w:val="bottom"/>
            <w:tcBorders>
              <w:bottom w:val="single" w:sz="8" w:color="929292"/>
            </w:tcBorders>
            <w:shd w:val="clear" w:color="auto" w:fill="DBDBDB"/>
          </w:tcPr>
          <w:p>
            <w:pPr>
              <w:spacing w:after="0"/>
              <w:rPr>
                <w:sz w:val="10"/>
                <w:szCs w:val="10"/>
                <w:color w:val="auto"/>
              </w:rPr>
            </w:pPr>
          </w:p>
        </w:tc>
        <w:tc>
          <w:tcPr>
            <w:tcW w:w="640" w:type="dxa"/>
            <w:vAlign w:val="bottom"/>
            <w:tcBorders>
              <w:bottom w:val="single" w:sz="8" w:color="929292"/>
            </w:tcBorders>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 Company</w:t>
            </w:r>
          </w:p>
        </w:tc>
        <w:tc>
          <w:tcPr>
            <w:tcW w:w="900" w:type="dxa"/>
            <w:vAlign w:val="bottom"/>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8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80" w:type="dxa"/>
            <w:vAlign w:val="bottom"/>
            <w:shd w:val="clear" w:color="auto" w:fill="DBDBDB"/>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720" w:type="dxa"/>
            <w:vAlign w:val="bottom"/>
            <w:vMerge w:val="restart"/>
            <w:shd w:val="clear" w:color="auto" w:fill="DBDBDB"/>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900" w:type="dxa"/>
            <w:vAlign w:val="bottom"/>
            <w:vMerge w:val="restart"/>
          </w:tcPr>
          <w:p>
            <w:pPr>
              <w:jc w:val="center"/>
              <w:spacing w:after="0"/>
              <w:rPr>
                <w:sz w:val="20"/>
                <w:szCs w:val="20"/>
                <w:color w:val="auto"/>
              </w:rPr>
            </w:pPr>
            <w:r>
              <w:rPr>
                <w:rFonts w:ascii="Wingdings" w:cs="Wingdings" w:eastAsia="Wingdings" w:hAnsi="Wingdings"/>
                <w:sz w:val="16"/>
                <w:szCs w:val="16"/>
                <w:b w:val="1"/>
                <w:bCs w:val="1"/>
                <w:color w:val="FF5715"/>
              </w:rPr>
              <w:t>ü</w:t>
            </w:r>
          </w:p>
        </w:tc>
        <w:tc>
          <w:tcPr>
            <w:tcW w:w="860" w:type="dxa"/>
            <w:vAlign w:val="bottom"/>
            <w:shd w:val="clear" w:color="auto" w:fill="DBDBDB"/>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Board</w:t>
            </w:r>
          </w:p>
        </w:tc>
        <w:tc>
          <w:tcPr>
            <w:tcW w:w="900" w:type="dxa"/>
            <w:vAlign w:val="bottom"/>
            <w:vMerge w:val="continue"/>
            <w:shd w:val="clear" w:color="auto" w:fill="DBDBDB"/>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continue"/>
            <w:shd w:val="clear" w:color="auto" w:fill="DBDBDB"/>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Borders>
              <w:bottom w:val="single" w:sz="8" w:color="929292"/>
            </w:tcBorders>
            <w:vMerge w:val="continue"/>
          </w:tcPr>
          <w:p>
            <w:pPr>
              <w:spacing w:after="0"/>
              <w:rPr>
                <w:sz w:val="10"/>
                <w:szCs w:val="10"/>
                <w:color w:val="auto"/>
              </w:rPr>
            </w:pPr>
          </w:p>
        </w:tc>
        <w:tc>
          <w:tcPr>
            <w:tcW w:w="900" w:type="dxa"/>
            <w:vAlign w:val="bottom"/>
            <w:tcBorders>
              <w:bottom w:val="single" w:sz="8" w:color="929292"/>
            </w:tcBorders>
            <w:shd w:val="clear" w:color="auto" w:fill="DBDBDB"/>
          </w:tcPr>
          <w:p>
            <w:pPr>
              <w:spacing w:after="0"/>
              <w:rPr>
                <w:sz w:val="10"/>
                <w:szCs w:val="10"/>
                <w:color w:val="auto"/>
              </w:rPr>
            </w:pPr>
          </w:p>
        </w:tc>
        <w:tc>
          <w:tcPr>
            <w:tcW w:w="980" w:type="dxa"/>
            <w:vAlign w:val="bottom"/>
            <w:tcBorders>
              <w:bottom w:val="single" w:sz="8" w:color="929292"/>
            </w:tcBorders>
          </w:tcPr>
          <w:p>
            <w:pPr>
              <w:spacing w:after="0"/>
              <w:rPr>
                <w:sz w:val="10"/>
                <w:szCs w:val="10"/>
                <w:color w:val="auto"/>
              </w:rPr>
            </w:pPr>
          </w:p>
        </w:tc>
        <w:tc>
          <w:tcPr>
            <w:tcW w:w="780" w:type="dxa"/>
            <w:vAlign w:val="bottom"/>
            <w:tcBorders>
              <w:bottom w:val="single" w:sz="8" w:color="929292"/>
            </w:tcBorders>
            <w:shd w:val="clear" w:color="auto" w:fill="DBDBDB"/>
          </w:tcPr>
          <w:p>
            <w:pPr>
              <w:spacing w:after="0"/>
              <w:rPr>
                <w:sz w:val="10"/>
                <w:szCs w:val="10"/>
                <w:color w:val="auto"/>
              </w:rPr>
            </w:pPr>
          </w:p>
        </w:tc>
        <w:tc>
          <w:tcPr>
            <w:tcW w:w="700" w:type="dxa"/>
            <w:vAlign w:val="bottom"/>
            <w:tcBorders>
              <w:bottom w:val="single" w:sz="8" w:color="929292"/>
            </w:tcBorders>
          </w:tcPr>
          <w:p>
            <w:pPr>
              <w:spacing w:after="0"/>
              <w:rPr>
                <w:sz w:val="10"/>
                <w:szCs w:val="10"/>
                <w:color w:val="auto"/>
              </w:rPr>
            </w:pPr>
          </w:p>
        </w:tc>
        <w:tc>
          <w:tcPr>
            <w:tcW w:w="720" w:type="dxa"/>
            <w:vAlign w:val="bottom"/>
            <w:tcBorders>
              <w:bottom w:val="single" w:sz="8" w:color="929292"/>
            </w:tcBorders>
            <w:shd w:val="clear" w:color="auto" w:fill="DBDBDB"/>
          </w:tcPr>
          <w:p>
            <w:pPr>
              <w:spacing w:after="0"/>
              <w:rPr>
                <w:sz w:val="10"/>
                <w:szCs w:val="10"/>
                <w:color w:val="auto"/>
              </w:rPr>
            </w:pPr>
          </w:p>
        </w:tc>
        <w:tc>
          <w:tcPr>
            <w:tcW w:w="900" w:type="dxa"/>
            <w:vAlign w:val="bottom"/>
            <w:tcBorders>
              <w:bottom w:val="single" w:sz="8" w:color="929292"/>
            </w:tcBorders>
          </w:tcPr>
          <w:p>
            <w:pPr>
              <w:spacing w:after="0"/>
              <w:rPr>
                <w:sz w:val="10"/>
                <w:szCs w:val="10"/>
                <w:color w:val="auto"/>
              </w:rPr>
            </w:pPr>
          </w:p>
        </w:tc>
        <w:tc>
          <w:tcPr>
            <w:tcW w:w="860" w:type="dxa"/>
            <w:vAlign w:val="bottom"/>
            <w:tcBorders>
              <w:bottom w:val="single" w:sz="8" w:color="929292"/>
            </w:tcBorders>
            <w:shd w:val="clear" w:color="auto" w:fill="DBDBDB"/>
          </w:tcPr>
          <w:p>
            <w:pPr>
              <w:spacing w:after="0"/>
              <w:rPr>
                <w:sz w:val="10"/>
                <w:szCs w:val="10"/>
                <w:color w:val="auto"/>
              </w:rPr>
            </w:pPr>
          </w:p>
        </w:tc>
        <w:tc>
          <w:tcPr>
            <w:tcW w:w="640" w:type="dxa"/>
            <w:vAlign w:val="bottom"/>
            <w:tcBorders>
              <w:bottom w:val="single" w:sz="8" w:color="929292"/>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215" w:right="1440"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INFORMATION REGARDING THE BOARD OF DIRECTORS</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t>AND CORPORATE GOVERNANCE</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Independence of the Board of Directors</w:t>
      </w:r>
    </w:p>
    <w:p>
      <w:pPr>
        <w:spacing w:after="0" w:line="233" w:lineRule="exact"/>
        <w:rPr>
          <w:sz w:val="20"/>
          <w:szCs w:val="20"/>
          <w:color w:val="auto"/>
        </w:rPr>
      </w:pPr>
    </w:p>
    <w:p>
      <w:pPr>
        <w:ind w:left="300" w:right="519"/>
        <w:spacing w:after="0" w:line="277" w:lineRule="auto"/>
        <w:rPr>
          <w:sz w:val="20"/>
          <w:szCs w:val="20"/>
          <w:color w:val="auto"/>
        </w:rPr>
      </w:pPr>
      <w:r>
        <w:rPr>
          <w:rFonts w:ascii="Times New Roman" w:cs="Times New Roman" w:eastAsia="Times New Roman" w:hAnsi="Times New Roman"/>
          <w:sz w:val="17"/>
          <w:szCs w:val="17"/>
          <w:color w:val="auto"/>
        </w:rPr>
        <w:t>Our Class A common stock is listed on the Nasdaq Stock Market (“Nasdaq”). Under the Nasdaq listing standards (the “listing standards”), a majority of the members of our board of directors must qualify as “independent,” as affirmatively determined by our board of directors. Our board of directors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168"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any of his or her family members, Root, Root’s business partners, our senior management and our independent auditors, our board of directors has affirmatively determined that Lawrence Hilsheimer, Julie Szudarek, Nancy Kramer, Douglas Ulman, Jerri DeVard, Beth Birnbaum and Donna Dorsey do not have relationships that would interfere with the exercise of independent judgment in carrying out the responsibilities of a director and that each of these directors is “independent” as that term is defined under the listing standards. In making these determinations, our board of directors considered the applicable listing standards,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 and the transactions described in the section titled “</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 Alexander Timm was not independent due to his position as an executive officer of Root. Accordingly, a majority of our directors are independent, as required under applicable listing standards.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Board Leadership Structure</w:t>
      </w:r>
    </w:p>
    <w:p>
      <w:pPr>
        <w:spacing w:after="0" w:line="246"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Our board of directors is committed to strong, independent board leadership and believes that objective oversight of management is a critical aspect of effective corporate governance. Accordingly, while Mr. Timm serves as the chairperson, Mr. Hilsheimer currently serves as lead independent director of our board of directors. The primary responsibilities of the lead independent director are to: work with the CEO to develop board meeting schedules and agendas; provide the CEO feedback on the quality, quantity and timeliness of the information provided to the board of directors; develop the agenda for and moderate executive sessions of the independent members of the board of directors; preside over board meetings when the chairperson is not present; act as principal liaison between the independent members of the board of directors and the CEO; and convene meetings of the independent directors as appropriate. Accordingly, the lead independent director has substantial ability to shape the work of the board of directors. We believe that having a lead independent director supports the board of directors in its oversight of the business and affairs of Root. In addition, we believe that having a lead independent director creates an environment that is conducive to objective evaluation and oversight of management’s performance, increasing management accountability and improving the ability of the board of directors to monitor whether management’s actions are in the best interests of Root and its stockholders. As a result, Root believes that having a lead independent director can enhance the effectiveness of the board of directors as a whole.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Role of the Board of Directors in Risk Oversight</w:t>
      </w:r>
    </w:p>
    <w:p>
      <w:pPr>
        <w:spacing w:after="0" w:line="233"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designed to support the achievement of organizational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189"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While our full board of directors has overall responsibility for risk oversight, it has delegated oversight of certain risks to its committees. Our audit, risk and finance committee monitors our major financial and security risk exposures and the steps our management has taken to monitor and control these exposures, including guidelines and</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1204" w:right="1440" w:bottom="1440" w:gutter="0" w:footer="0" w:header="0"/>
          <w:type w:val="continuous"/>
        </w:sectPr>
      </w:pPr>
    </w:p>
    <w:bookmarkStart w:id="19" w:name="page20"/>
    <w:bookmarkEnd w:id="19"/>
    <w:p>
      <w:pPr>
        <w:ind w:left="300" w:right="33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policies to govern the process by which risk assessment and management is undertaken. Our audit, risk and finance committee also monitors compliance with legal and regulatory requirements. Our compensation committee monitors whether any of our compensation programs, policies and practices has the potential to encourage excessive risk-taking. Our nominating and governance committee oversees our major corporate governance risks, including through monitoring the effectiveness of our Corporate Governance Guidelines, and risks related to the Company’s reputation through oversight of sustainability and corporate social responsibility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In connection with its reviews of the operations of our business, the board of directors addresses the primary risks associated with our business including, for example, strategic planning and cybersecurity. Our board of directors appreciates the evolving nature of our business and industry and is actively involved with monitoring new threats and risks as they emerge. In particular, our board of directors is committed to the prevention, timely detection and mitigation of the effects of cybersecurity threats or incidents. Mr. Hilsheimer, the chair of the audit, risk and finance committee, is certified in cybersecurity oversight by the National Association of Corporate Directors.</w:t>
      </w:r>
    </w:p>
    <w:p>
      <w:pPr>
        <w:spacing w:after="0" w:line="187"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At periodic meetings of our board of directors and its committees, management reports to and seeks guidance from our board of directors and its committees with respect to the most significant risks that could affect our business, such as legal risks, information security and privacy risks and financial, tax and audit-related risks. In addition,</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1228" w:right="1440" w:bottom="1440" w:gutter="0" w:footer="0" w:header="0"/>
          <w:type w:val="continuous"/>
        </w:sectPr>
      </w:pPr>
    </w:p>
    <w:bookmarkStart w:id="20" w:name="page21"/>
    <w:bookmarkEnd w:id="20"/>
    <w:p>
      <w:pPr>
        <w:ind w:left="300" w:right="115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among other matters, management provides our audit, risk and finance committee periodic reports on our compliance programs and investment policy and practices.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Meetings of the Board of Directors and its Committees</w:t>
      </w:r>
    </w:p>
    <w:p>
      <w:pPr>
        <w:spacing w:after="0" w:line="233"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Our board of directors is responsible for the oversight of management and the strategy of our company and for establishing corporate policies. Our board of directors meets periodically during the year to review significant developments affecting us and to act on matters requiring the approval of our board of directors. Our board of directors met five times during our last fiscal year. The audit, risk and finance committee met six times during our last fiscal year. The compensation committee met four times during our last fiscal year. The nominating and governance committee met four times during our last fiscal year. During our last fiscal year, each director attended 75% or more of the aggregate of the meetings of our board of directors and of the committees on which he or she served. Although we do not have a formal policy regarding director attendance at our annual meeting of stockholders, we encourage our directors and nominees for director to attend. Six of our eight directors attended the annual meeting of stockholders held in 2025 (the “2025 Annual Meeting”) via webcast.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Composition of the Board of Directors and its Committees</w:t>
      </w:r>
    </w:p>
    <w:p>
      <w:pPr>
        <w:spacing w:after="0" w:line="233"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risk and finance committee, a compensation committee and a nominating and governance committee. Our board of directors has adopted a written charter for each of our standing committees, which are available to stockholders on our investor relations website at </w:t>
      </w:r>
      <w:r>
        <w:rPr>
          <w:rFonts w:ascii="Times New Roman" w:cs="Times New Roman" w:eastAsia="Times New Roman" w:hAnsi="Times New Roman"/>
          <w:sz w:val="18"/>
          <w:szCs w:val="18"/>
          <w:i w:val="1"/>
          <w:iCs w:val="1"/>
          <w:color w:val="auto"/>
        </w:rPr>
        <w:t>ir.joinroot.com</w:t>
      </w:r>
      <w:r>
        <w:rPr>
          <w:rFonts w:ascii="Times New Roman" w:cs="Times New Roman" w:eastAsia="Times New Roman" w:hAnsi="Times New Roman"/>
          <w:sz w:val="18"/>
          <w:szCs w:val="18"/>
          <w:color w:val="auto"/>
        </w:rPr>
        <w:t xml:space="preserve"> .</w:t>
      </w:r>
    </w:p>
    <w:p>
      <w:pPr>
        <w:spacing w:after="0" w:line="176" w:lineRule="exact"/>
        <w:rPr>
          <w:sz w:val="20"/>
          <w:szCs w:val="20"/>
          <w:color w:val="auto"/>
        </w:rPr>
      </w:pPr>
    </w:p>
    <w:p>
      <w:pPr>
        <w:ind w:left="300" w:right="319"/>
        <w:spacing w:after="0" w:line="260" w:lineRule="auto"/>
        <w:rPr>
          <w:sz w:val="20"/>
          <w:szCs w:val="20"/>
          <w:color w:val="auto"/>
        </w:rPr>
      </w:pPr>
      <w:r>
        <w:rPr>
          <w:rFonts w:ascii="Times New Roman" w:cs="Times New Roman" w:eastAsia="Times New Roman" w:hAnsi="Times New Roman"/>
          <w:sz w:val="18"/>
          <w:szCs w:val="18"/>
          <w:color w:val="auto"/>
        </w:rPr>
        <w:t>Our board of directors rotated committee chairs and membership in 2025 to ensure fresh perspectives. The following table provides membership information and the total number of meetings for the fiscal year ended December 31, 2025, for each of the standing committees of our board of directors, with committee designations as of December 31, 2025:</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Audit, Risk and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r>
      <w:tr>
        <w:trPr>
          <w:trHeight w:val="175"/>
        </w:trPr>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180"/>
        </w:trPr>
        <w:tc>
          <w:tcPr>
            <w:tcW w:w="4600" w:type="dxa"/>
            <w:vAlign w:val="bottom"/>
            <w:tcBorders>
              <w:bottom w:val="single" w:sz="8" w:color="FF5715"/>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tcBorders>
              <w:bottom w:val="single" w:sz="8" w:color="FF5715"/>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220" w:type="dxa"/>
            <w:vAlign w:val="bottom"/>
            <w:tcBorders>
              <w:bottom w:val="single" w:sz="8" w:color="FF5715"/>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243"/>
        </w:trPr>
        <w:tc>
          <w:tcPr>
            <w:tcW w:w="4600" w:type="dxa"/>
            <w:vAlign w:val="bottom"/>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Alexander Timm</w:t>
            </w: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r>
      <w:tr>
        <w:trPr>
          <w:trHeight w:val="256"/>
        </w:trPr>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Julie Szudarek</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Member†</w:t>
            </w:r>
          </w:p>
        </w:tc>
        <w:tc>
          <w:tcPr>
            <w:tcW w:w="122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Chair</w:t>
            </w:r>
            <w:r>
              <w:rPr>
                <w:rFonts w:ascii="Times New Roman" w:cs="Times New Roman" w:eastAsia="Times New Roman" w:hAnsi="Times New Roman"/>
                <w:sz w:val="23"/>
                <w:szCs w:val="23"/>
                <w:color w:val="auto"/>
                <w:w w:val="96"/>
                <w:vertAlign w:val="superscript"/>
              </w:rPr>
              <w:t>1</w:t>
            </w:r>
          </w:p>
        </w:tc>
        <w:tc>
          <w:tcPr>
            <w:tcW w:w="1220" w:type="dxa"/>
            <w:vAlign w:val="bottom"/>
          </w:tcPr>
          <w:p>
            <w:pPr>
              <w:spacing w:after="0"/>
              <w:rPr>
                <w:sz w:val="22"/>
                <w:szCs w:val="22"/>
                <w:color w:val="auto"/>
              </w:rPr>
            </w:pPr>
          </w:p>
        </w:tc>
      </w:tr>
      <w:tr>
        <w:trPr>
          <w:trHeight w:val="257"/>
        </w:trPr>
        <w:tc>
          <w:tcPr>
            <w:tcW w:w="4600" w:type="dxa"/>
            <w:vAlign w:val="bottom"/>
            <w:gridSpan w:val="2"/>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rPr>
              <w:t>Douglas Ulman</w:t>
            </w:r>
            <w:r>
              <w:rPr>
                <w:rFonts w:ascii="Times New Roman" w:cs="Times New Roman" w:eastAsia="Times New Roman" w:hAnsi="Times New Roman"/>
                <w:sz w:val="23"/>
                <w:szCs w:val="23"/>
                <w:color w:val="auto"/>
                <w:vertAlign w:val="superscript"/>
              </w:rPr>
              <w:t>2</w:t>
            </w:r>
          </w:p>
        </w:tc>
        <w:tc>
          <w:tcPr>
            <w:tcW w:w="126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220" w:type="dxa"/>
            <w:vAlign w:val="bottom"/>
            <w:gridSpan w:val="2"/>
            <w:shd w:val="clear" w:color="auto" w:fill="DBDBDB"/>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Member</w:t>
            </w:r>
            <w:r>
              <w:rPr>
                <w:rFonts w:ascii="Times New Roman" w:cs="Times New Roman" w:eastAsia="Times New Roman" w:hAnsi="Times New Roman"/>
                <w:sz w:val="23"/>
                <w:szCs w:val="23"/>
                <w:color w:val="auto"/>
                <w:w w:val="96"/>
                <w:vertAlign w:val="superscript"/>
              </w:rPr>
              <w:t>1</w:t>
            </w:r>
          </w:p>
        </w:tc>
        <w:tc>
          <w:tcPr>
            <w:tcW w:w="1220" w:type="dxa"/>
            <w:vAlign w:val="bottom"/>
            <w:shd w:val="clear" w:color="auto" w:fill="DBDBDB"/>
          </w:tcPr>
          <w:p>
            <w:pPr>
              <w:spacing w:after="0"/>
              <w:rPr>
                <w:sz w:val="22"/>
                <w:szCs w:val="22"/>
                <w:color w:val="auto"/>
              </w:rPr>
            </w:pPr>
          </w:p>
        </w:tc>
      </w:tr>
      <w:tr>
        <w:trPr>
          <w:trHeight w:val="256"/>
        </w:trPr>
        <w:tc>
          <w:tcPr>
            <w:tcW w:w="460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Jerri DeVard </w:t>
            </w:r>
            <w:r>
              <w:rPr>
                <w:rFonts w:ascii="Times New Roman" w:cs="Times New Roman" w:eastAsia="Times New Roman" w:hAnsi="Times New Roman"/>
                <w:sz w:val="23"/>
                <w:szCs w:val="23"/>
                <w:color w:val="auto"/>
                <w:vertAlign w:val="superscript"/>
              </w:rPr>
              <w:t>3</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Chair</w:t>
            </w:r>
            <w:r>
              <w:rPr>
                <w:rFonts w:ascii="Times New Roman" w:cs="Times New Roman" w:eastAsia="Times New Roman" w:hAnsi="Times New Roman"/>
                <w:sz w:val="23"/>
                <w:szCs w:val="23"/>
                <w:color w:val="auto"/>
                <w:w w:val="96"/>
                <w:vertAlign w:val="superscript"/>
              </w:rPr>
              <w:t>1</w:t>
            </w:r>
          </w:p>
        </w:tc>
      </w:tr>
      <w:tr>
        <w:trPr>
          <w:trHeight w:val="257"/>
        </w:trPr>
        <w:tc>
          <w:tcPr>
            <w:tcW w:w="4600" w:type="dxa"/>
            <w:vAlign w:val="bottom"/>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Lawrence Hilsheimer</w:t>
            </w:r>
          </w:p>
        </w:tc>
        <w:tc>
          <w:tcPr>
            <w:tcW w:w="1380" w:type="dxa"/>
            <w:vAlign w:val="bottom"/>
            <w:gridSpan w:val="2"/>
            <w:shd w:val="clear" w:color="auto" w:fill="DBDBDB"/>
          </w:tcPr>
          <w:p>
            <w:pPr>
              <w:jc w:val="center"/>
              <w:ind w:right="120"/>
              <w:spacing w:after="0"/>
              <w:rPr>
                <w:sz w:val="20"/>
                <w:szCs w:val="20"/>
                <w:color w:val="auto"/>
              </w:rPr>
            </w:pPr>
            <w:r>
              <w:rPr>
                <w:rFonts w:ascii="Times New Roman" w:cs="Times New Roman" w:eastAsia="Times New Roman" w:hAnsi="Times New Roman"/>
                <w:sz w:val="18"/>
                <w:szCs w:val="18"/>
                <w:color w:val="auto"/>
              </w:rPr>
              <w:t>Chair†</w:t>
            </w:r>
          </w:p>
        </w:tc>
        <w:tc>
          <w:tcPr>
            <w:tcW w:w="10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r>
      <w:tr>
        <w:trPr>
          <w:trHeight w:val="257"/>
        </w:trPr>
        <w:tc>
          <w:tcPr>
            <w:tcW w:w="460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Beth Birnbaum</w:t>
            </w:r>
            <w:r>
              <w:rPr>
                <w:rFonts w:ascii="Times New Roman" w:cs="Times New Roman" w:eastAsia="Times New Roman" w:hAnsi="Times New Roman"/>
                <w:sz w:val="23"/>
                <w:szCs w:val="23"/>
                <w:color w:val="auto"/>
                <w:vertAlign w:val="superscript"/>
              </w:rPr>
              <w:t>4</w:t>
            </w:r>
          </w:p>
        </w:tc>
        <w:tc>
          <w:tcPr>
            <w:tcW w:w="138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Member</w:t>
            </w:r>
            <w:r>
              <w:rPr>
                <w:rFonts w:ascii="Times New Roman" w:cs="Times New Roman" w:eastAsia="Times New Roman" w:hAnsi="Times New Roman"/>
                <w:sz w:val="23"/>
                <w:szCs w:val="23"/>
                <w:color w:val="auto"/>
                <w:w w:val="96"/>
                <w:vertAlign w:val="superscript"/>
              </w:rPr>
              <w:t>1</w:t>
            </w: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4600" w:type="dxa"/>
            <w:vAlign w:val="bottom"/>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Donna Dorsey</w:t>
            </w:r>
          </w:p>
        </w:tc>
        <w:tc>
          <w:tcPr>
            <w:tcW w:w="126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220" w:type="dxa"/>
            <w:vAlign w:val="bottom"/>
            <w:gridSpan w:val="2"/>
            <w:shd w:val="clear" w:color="auto" w:fill="DBDBDB"/>
          </w:tcPr>
          <w:p>
            <w:pPr>
              <w:jc w:val="center"/>
              <w:ind w:right="120"/>
              <w:spacing w:after="0"/>
              <w:rPr>
                <w:sz w:val="20"/>
                <w:szCs w:val="20"/>
                <w:color w:val="auto"/>
              </w:rPr>
            </w:pPr>
            <w:r>
              <w:rPr>
                <w:rFonts w:ascii="Times New Roman" w:cs="Times New Roman" w:eastAsia="Times New Roman" w:hAnsi="Times New Roman"/>
                <w:sz w:val="18"/>
                <w:szCs w:val="18"/>
                <w:color w:val="auto"/>
              </w:rPr>
              <w:t>Member</w:t>
            </w:r>
          </w:p>
        </w:tc>
        <w:tc>
          <w:tcPr>
            <w:tcW w:w="1220" w:type="dxa"/>
            <w:vAlign w:val="bottom"/>
            <w:shd w:val="clear" w:color="auto" w:fill="DBDBDB"/>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Member</w:t>
            </w:r>
            <w:r>
              <w:rPr>
                <w:rFonts w:ascii="Times New Roman" w:cs="Times New Roman" w:eastAsia="Times New Roman" w:hAnsi="Times New Roman"/>
                <w:sz w:val="23"/>
                <w:szCs w:val="23"/>
                <w:color w:val="auto"/>
                <w:w w:val="96"/>
                <w:vertAlign w:val="superscript"/>
              </w:rPr>
              <w:t>1</w:t>
            </w:r>
          </w:p>
        </w:tc>
      </w:tr>
      <w:tr>
        <w:trPr>
          <w:trHeight w:val="257"/>
        </w:trPr>
        <w:tc>
          <w:tcPr>
            <w:tcW w:w="460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Nancy Kramer</w:t>
            </w:r>
            <w:r>
              <w:rPr>
                <w:rFonts w:ascii="Times New Roman" w:cs="Times New Roman" w:eastAsia="Times New Roman" w:hAnsi="Times New Roman"/>
                <w:sz w:val="23"/>
                <w:szCs w:val="23"/>
                <w:color w:val="auto"/>
                <w:vertAlign w:val="superscript"/>
              </w:rPr>
              <w:t>5</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Member</w:t>
            </w:r>
            <w:r>
              <w:rPr>
                <w:rFonts w:ascii="Times New Roman" w:cs="Times New Roman" w:eastAsia="Times New Roman" w:hAnsi="Times New Roman"/>
                <w:sz w:val="23"/>
                <w:szCs w:val="23"/>
                <w:color w:val="auto"/>
                <w:w w:val="96"/>
                <w:vertAlign w:val="superscript"/>
              </w:rPr>
              <w:t>1</w:t>
            </w:r>
          </w:p>
        </w:tc>
      </w:tr>
      <w:tr>
        <w:trPr>
          <w:trHeight w:val="236"/>
        </w:trPr>
        <w:tc>
          <w:tcPr>
            <w:tcW w:w="4520" w:type="dxa"/>
            <w:vAlign w:val="bottom"/>
            <w:tcBorders>
              <w:top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Total meetings held in 2025</w:t>
            </w:r>
          </w:p>
        </w:tc>
        <w:tc>
          <w:tcPr>
            <w:tcW w:w="80" w:type="dxa"/>
            <w:vAlign w:val="bottom"/>
            <w:tcBorders>
              <w:top w:val="single" w:sz="8" w:color="DBDBDB"/>
            </w:tcBorders>
            <w:shd w:val="clear" w:color="auto" w:fill="DBDBDB"/>
          </w:tcPr>
          <w:p>
            <w:pPr>
              <w:spacing w:after="0"/>
              <w:rPr>
                <w:sz w:val="20"/>
                <w:szCs w:val="20"/>
                <w:color w:val="auto"/>
              </w:rPr>
            </w:pPr>
          </w:p>
        </w:tc>
        <w:tc>
          <w:tcPr>
            <w:tcW w:w="126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top w:val="single" w:sz="8" w:color="DBDBDB"/>
            </w:tcBorders>
            <w:shd w:val="clear" w:color="auto" w:fill="DBDBDB"/>
          </w:tcPr>
          <w:p>
            <w:pPr>
              <w:spacing w:after="0"/>
              <w:rPr>
                <w:sz w:val="20"/>
                <w:szCs w:val="20"/>
                <w:color w:val="auto"/>
              </w:rPr>
            </w:pPr>
          </w:p>
        </w:tc>
        <w:tc>
          <w:tcPr>
            <w:tcW w:w="108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top w:val="single" w:sz="8" w:color="DBDBDB"/>
            </w:tcBorders>
            <w:shd w:val="clear" w:color="auto" w:fill="DBDBDB"/>
          </w:tcPr>
          <w:p>
            <w:pPr>
              <w:spacing w:after="0"/>
              <w:rPr>
                <w:sz w:val="20"/>
                <w:szCs w:val="20"/>
                <w:color w:val="auto"/>
              </w:rPr>
            </w:pPr>
          </w:p>
        </w:tc>
        <w:tc>
          <w:tcPr>
            <w:tcW w:w="122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r>
    </w:tbl>
    <w:p>
      <w:pPr>
        <w:spacing w:after="0" w:line="153" w:lineRule="exact"/>
        <w:rPr>
          <w:sz w:val="20"/>
          <w:szCs w:val="20"/>
          <w:color w:val="auto"/>
        </w:rPr>
      </w:pPr>
    </w:p>
    <w:p>
      <w:pPr>
        <w:ind w:left="620" w:hanging="328"/>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Financial Expert</w:t>
      </w:r>
    </w:p>
    <w:p>
      <w:pPr>
        <w:spacing w:after="0" w:line="99" w:lineRule="exact"/>
        <w:rPr>
          <w:sz w:val="20"/>
          <w:szCs w:val="20"/>
          <w:color w:val="auto"/>
        </w:rPr>
      </w:pPr>
    </w:p>
    <w:p>
      <w:pPr>
        <w:ind w:left="620" w:hanging="328"/>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30, 2025.</w:t>
      </w:r>
    </w:p>
    <w:p>
      <w:pPr>
        <w:spacing w:after="0" w:line="149"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Served on Audit Committee and Nominating and Governance Committee through October 30, 2025.</w:t>
      </w:r>
    </w:p>
    <w:p>
      <w:pPr>
        <w:spacing w:after="0" w:line="149"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Served as a member of Nominating and Governance Committee through October 30, 2025.</w:t>
      </w:r>
    </w:p>
    <w:p>
      <w:pPr>
        <w:spacing w:after="0" w:line="163"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Served on Compensation Committee through October 30, 2025.</w:t>
      </w:r>
    </w:p>
    <w:p>
      <w:pPr>
        <w:spacing w:after="0" w:line="149"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Served as chair of Compensation Committee through October 30, 2025.</w:t>
      </w:r>
    </w:p>
    <w:p>
      <w:pPr>
        <w:spacing w:after="0" w:line="353"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member of each standing committee meets the applicable listing standards regarding “independence,” and each member is free of any relationship that would impair his or her individual exercise of independent judgment with regard to us.</w:t>
      </w:r>
    </w:p>
    <w:p>
      <w:pPr>
        <w:spacing w:after="0" w:line="176" w:lineRule="exact"/>
        <w:rPr>
          <w:sz w:val="20"/>
          <w:szCs w:val="20"/>
          <w:color w:val="auto"/>
        </w:rPr>
      </w:pPr>
    </w:p>
    <w:p>
      <w:pPr>
        <w:ind w:left="300" w:right="739"/>
        <w:spacing w:after="0" w:line="312" w:lineRule="auto"/>
        <w:rPr>
          <w:sz w:val="20"/>
          <w:szCs w:val="20"/>
          <w:color w:val="auto"/>
        </w:rPr>
      </w:pPr>
      <w:r>
        <w:rPr>
          <w:rFonts w:ascii="Times New Roman" w:cs="Times New Roman" w:eastAsia="Times New Roman" w:hAnsi="Times New Roman"/>
          <w:sz w:val="17"/>
          <w:szCs w:val="17"/>
          <w:color w:val="auto"/>
        </w:rPr>
        <w:t>Our board of directors may establish other committees from time to time to facilitate the management of our business. In addition to these three standing committees, the board of directors maintains a strategy committee,</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228" w:right="1440" w:bottom="1440" w:gutter="0" w:footer="0" w:header="0"/>
          <w:type w:val="continuous"/>
        </w:sectPr>
      </w:pPr>
    </w:p>
    <w:bookmarkStart w:id="21" w:name="page22"/>
    <w:bookmarkEnd w:id="21"/>
    <w:p>
      <w:pPr>
        <w:ind w:left="300" w:right="33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which meets as necessary to generally oversee our business and marketing strategy. This committee is chaired by Mr. Ulman, and Mses. DeVard and Kramer are members of the strategy committee. The strategy committee: reviews and advises the board of directors on overall strategy, direction and effectiveness of the Company’s short- and long-term goals and objectives, including goals and objectives related to its brand and marketing plans and strategies; identifies and provides the board of directors with views on marketing and branding developments and trends that are relevant to the Company and in alignment with the Company’s strategy and success of the Company’s product sales and commercialization of its services; and advises the board of directors with respect to collaborations and endorsement arrangements, and participation in other programs to enhance the Company’s value proposition and visibility of its products in the marketplace. The strategy committee met three times in 2025. In addition, the board of directors maintains an executive committee, comprised of Messrs. Hilsheimer and Timm, which meets as necessary to address matters that arise between board meetings and may exercise the powers and authority of the board of directors, subject to specific limitations consistent with our Amended and Restated Bylaws and applicable law.</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standing committee of our board of directors.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Risk and Finance Committee</w:t>
      </w:r>
    </w:p>
    <w:p>
      <w:pPr>
        <w:spacing w:after="0" w:line="243"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audit, risk and finance committee is comprised of Lawrence Hilsheimer, Julie Szudarek and Beth Birnbaum. Our board of directors has determined that each member of the audit, risk and finance committee during 2025 satisfied, and continues to satisfy, the independence requirements under the listing standards of Nasdaq Rule 5605(c)(2) and Rule 10A-3(b)(1) of the Exchange Act. The chair of our audit, risk and finance committee is Mr. Hilsheimer. Our board of directors has determined that Mr. Hilsheimer and Ms. Szudarek are both “audit committee financial experts” within the meaning of SEC regulations. Each member of our audit, risk and finance committee can read and understand fundamental financial statements in accordance with applicable requirements. In arriving at these determinations, our board of directors has examined each audit, risk and finance committee member’s scope of experience and the nature of their employment.</w:t>
      </w:r>
    </w:p>
    <w:p>
      <w:pPr>
        <w:spacing w:after="0" w:line="188"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risk and finance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risk and finance committee include:</w:t>
      </w:r>
    </w:p>
    <w:p>
      <w:pPr>
        <w:spacing w:after="0" w:line="180" w:lineRule="exact"/>
        <w:rPr>
          <w:sz w:val="20"/>
          <w:szCs w:val="20"/>
          <w:color w:val="auto"/>
        </w:rPr>
      </w:pPr>
    </w:p>
    <w:p>
      <w:pPr>
        <w:ind w:left="620" w:right="519" w:hanging="328"/>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accounting and financial reporting processes, systems of internal control, financial statement audits and the integrity of the Company’s financial statements;</w:t>
      </w:r>
    </w:p>
    <w:p>
      <w:pPr>
        <w:spacing w:after="0" w:line="161" w:lineRule="exact"/>
        <w:rPr>
          <w:rFonts w:ascii="Times New Roman" w:cs="Times New Roman" w:eastAsia="Times New Roman" w:hAnsi="Times New Roman"/>
          <w:sz w:val="18"/>
          <w:szCs w:val="18"/>
          <w:color w:val="auto"/>
        </w:rPr>
      </w:pPr>
    </w:p>
    <w:p>
      <w:pPr>
        <w:jc w:val="both"/>
        <w:ind w:left="620" w:right="339" w:hanging="328"/>
        <w:spacing w:after="0" w:line="266"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terms, fees, qualifications, independence and performance of the registered public accounting firms engaged as the Company’s independent outside auditors for the purpose of preparing or issuing an audit report or performing audit services;</w:t>
      </w:r>
    </w:p>
    <w:p>
      <w:pPr>
        <w:spacing w:after="0" w:line="175" w:lineRule="exact"/>
        <w:rPr>
          <w:rFonts w:ascii="Times New Roman" w:cs="Times New Roman" w:eastAsia="Times New Roman" w:hAnsi="Times New Roman"/>
          <w:sz w:val="18"/>
          <w:szCs w:val="18"/>
          <w:color w:val="auto"/>
        </w:rPr>
      </w:pPr>
    </w:p>
    <w:p>
      <w:pPr>
        <w:ind w:left="620" w:right="519" w:hanging="328"/>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fostering an open avenue of communication with the Company’s management, internal audit group and independent external auditors;</w:t>
      </w:r>
    </w:p>
    <w:p>
      <w:pPr>
        <w:spacing w:after="0" w:line="16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reports or disclosures required by applicable law and stock exchange listing requirements;</w:t>
      </w:r>
    </w:p>
    <w:p>
      <w:pPr>
        <w:spacing w:after="0" w:line="225" w:lineRule="exact"/>
        <w:rPr>
          <w:rFonts w:ascii="Times New Roman" w:cs="Times New Roman" w:eastAsia="Times New Roman" w:hAnsi="Times New Roman"/>
          <w:sz w:val="18"/>
          <w:szCs w:val="18"/>
          <w:color w:val="auto"/>
        </w:rPr>
      </w:pPr>
    </w:p>
    <w:p>
      <w:pPr>
        <w:ind w:left="620" w:right="599" w:hanging="328"/>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organization and performance of the Company’s internal audit function and independent external auditors;</w:t>
      </w:r>
    </w:p>
    <w:p>
      <w:pPr>
        <w:spacing w:after="0" w:line="16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the Company’s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620" w:right="399" w:hanging="328"/>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identification and monitoring of important existing and emerging enterprise risks material to the achievement of our strategic and operational objectives;</w:t>
      </w:r>
    </w:p>
    <w:p>
      <w:pPr>
        <w:spacing w:after="0" w:line="161" w:lineRule="exact"/>
        <w:rPr>
          <w:rFonts w:ascii="Times New Roman" w:cs="Times New Roman" w:eastAsia="Times New Roman" w:hAnsi="Times New Roman"/>
          <w:sz w:val="18"/>
          <w:szCs w:val="18"/>
          <w:color w:val="auto"/>
        </w:rPr>
      </w:pPr>
    </w:p>
    <w:p>
      <w:pPr>
        <w:ind w:left="620" w:right="639" w:hanging="328"/>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enterprise risk policies and procedures and determining risk appetite and tolerance limits;</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228" w:right="1440" w:bottom="1440" w:gutter="0" w:footer="0" w:header="0"/>
          <w:type w:val="continuous"/>
        </w:sectPr>
      </w:pPr>
    </w:p>
    <w:bookmarkStart w:id="22" w:name="page23"/>
    <w:bookmarkEnd w:id="22"/>
    <w:p>
      <w:pPr>
        <w:jc w:val="both"/>
        <w:ind w:left="620" w:right="539" w:hanging="328"/>
        <w:spacing w:after="0" w:line="312"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reviewing and periodically evaluating the effectiveness of management processes and action plans to identify and address enterprise risks and review and approve any reports or disclosures as required by applicable law;</w:t>
      </w:r>
    </w:p>
    <w:p>
      <w:pPr>
        <w:spacing w:after="0" w:line="139" w:lineRule="exact"/>
        <w:rPr>
          <w:rFonts w:ascii="Times New Roman" w:cs="Times New Roman" w:eastAsia="Times New Roman" w:hAnsi="Times New Roman"/>
          <w:sz w:val="17"/>
          <w:szCs w:val="17"/>
          <w:color w:val="auto"/>
        </w:rPr>
      </w:pPr>
    </w:p>
    <w:p>
      <w:pPr>
        <w:ind w:left="620" w:right="739" w:hanging="328"/>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status of any material tax audits and proceedings, our tax strategy and any other material tax matters;</w:t>
      </w:r>
    </w:p>
    <w:p>
      <w:pPr>
        <w:spacing w:after="0" w:line="161" w:lineRule="exact"/>
        <w:rPr>
          <w:rFonts w:ascii="Times New Roman" w:cs="Times New Roman" w:eastAsia="Times New Roman" w:hAnsi="Times New Roman"/>
          <w:sz w:val="18"/>
          <w:szCs w:val="18"/>
          <w:color w:val="auto"/>
        </w:rPr>
      </w:pPr>
    </w:p>
    <w:p>
      <w:pPr>
        <w:ind w:left="620" w:right="299" w:hanging="328"/>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as appropriate, all material financing plans, including debt or equity issuances, share repurchases or dividends;</w:t>
      </w:r>
    </w:p>
    <w:p>
      <w:pPr>
        <w:spacing w:after="0" w:line="161" w:lineRule="exact"/>
        <w:rPr>
          <w:rFonts w:ascii="Times New Roman" w:cs="Times New Roman" w:eastAsia="Times New Roman" w:hAnsi="Times New Roman"/>
          <w:sz w:val="18"/>
          <w:szCs w:val="18"/>
          <w:color w:val="auto"/>
        </w:rPr>
      </w:pPr>
    </w:p>
    <w:p>
      <w:pPr>
        <w:ind w:left="620" w:right="359" w:hanging="328"/>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matters related to data protection and security, as well as reviewing and establishing the design of an information security program;</w:t>
      </w:r>
    </w:p>
    <w:p>
      <w:pPr>
        <w:spacing w:after="0" w:line="16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for investing in marketable securities and monitoring compliance with those policies;</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scope of treasury risks;</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insurance policies;</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long-term capital and liquidity polices; and</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reports and information to the board of directors.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Audit, Risk and Finance Committee Report</w:t>
      </w:r>
    </w:p>
    <w:p>
      <w:pPr>
        <w:spacing w:after="0" w:line="22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The audit, risk and finance committee has reviewed and discussed the audited financial statements and its report on internal control over financial reporting for the fiscal year ended December 31, 2025 with our management. The audit, risk and finance committee has also reviewed and discussed with Deloitte &amp; Touche LLP, our independent registered public accounting firm, the matters required to be discussed by the applicable requirements of the Public Company Accounting Oversight Board (“PCAOB”) and the SEC. The audit, risk and finance committee has also received the written disclosures and the letter from Deloitte &amp; Touche LLP required by applicable requirements of the PCAOB regarding the independent accountants’ communications with the audit, risk and finance committee concerning independence and has discussed with Deloitte &amp; Touche LLP the accounting firm’s independence. Based on the foregoing, the audit, risk and finance committee has recommended to our board of directors that the audited financial statements and the report on internal control be included in our Annual Report on Form 10-K for the fiscal year ended December 31, 2025 and filed with the SEC.</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Lawrence Hilsheimer,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Julie Szudarek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Beth Birnbaum</w:t>
      </w:r>
    </w:p>
    <w:p>
      <w:pPr>
        <w:spacing w:after="0" w:line="205"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Root under the Securities Act of 1933, as amended (the “Securities Act”), or the Exchange Act, whether made before or after the date hereof and irrespective of any general incorporation language in any such filing.</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18"/>
          <w:szCs w:val="18"/>
          <w:color w:val="auto"/>
        </w:rPr>
        <w:t>Our compensation committee is comprised of Julie Szudarek, Donna Dorsey and Doug Ulman. The chair of our compensation committee is Ms. Szudarek. Our board of directors has determined that each member of the compensation committee that served on the compensation committee in 2025 and each member that continues to serve on the compensation committee is independent under the applicable listing standards and a “non-employee director” as defined in Rule 16b-3 under the Exchange Act.</w:t>
      </w:r>
    </w:p>
    <w:p>
      <w:pPr>
        <w:spacing w:after="0" w:line="183" w:lineRule="exact"/>
        <w:rPr>
          <w:sz w:val="20"/>
          <w:szCs w:val="20"/>
          <w:color w:val="auto"/>
        </w:rPr>
      </w:pPr>
    </w:p>
    <w:p>
      <w:pPr>
        <w:ind w:left="300" w:right="399"/>
        <w:spacing w:after="0" w:line="312"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of directors in overseeing our compensation programs, policies, and practices and to review and determine the compensation to be</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228" w:right="1440" w:bottom="1440" w:gutter="0" w:footer="0" w:header="0"/>
          <w:type w:val="continuous"/>
        </w:sectPr>
      </w:pPr>
    </w:p>
    <w:bookmarkStart w:id="23" w:name="page24"/>
    <w:bookmarkEnd w:id="23"/>
    <w:p>
      <w:pPr>
        <w:ind w:left="300" w:right="8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paid to our executive officers, non-employee directors and other senior management, as appropriate. Specific responsibilities of our compensation committee include:</w:t>
      </w:r>
    </w:p>
    <w:p>
      <w:pPr>
        <w:spacing w:after="0" w:line="162" w:lineRule="exact"/>
        <w:rPr>
          <w:sz w:val="20"/>
          <w:szCs w:val="20"/>
          <w:color w:val="auto"/>
        </w:rPr>
      </w:pPr>
    </w:p>
    <w:p>
      <w:pPr>
        <w:ind w:left="620" w:right="479" w:hanging="328"/>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the compensation of our CEO and other executive officers;</w:t>
      </w:r>
    </w:p>
    <w:p>
      <w:pPr>
        <w:spacing w:after="0" w:line="161" w:lineRule="exact"/>
        <w:rPr>
          <w:rFonts w:ascii="Times New Roman" w:cs="Times New Roman" w:eastAsia="Times New Roman" w:hAnsi="Times New Roman"/>
          <w:sz w:val="18"/>
          <w:szCs w:val="18"/>
          <w:color w:val="auto"/>
        </w:rPr>
      </w:pPr>
    </w:p>
    <w:p>
      <w:pPr>
        <w:ind w:left="620" w:right="539" w:hanging="328"/>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of directors, the compensation of our non-employee directors;</w:t>
      </w:r>
    </w:p>
    <w:p>
      <w:pPr>
        <w:spacing w:after="0" w:line="16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(or providing for the administration of) our equity incentive plans and other benefit programs;</w:t>
      </w:r>
    </w:p>
    <w:p>
      <w:pPr>
        <w:spacing w:after="0" w:line="225" w:lineRule="exact"/>
        <w:rPr>
          <w:rFonts w:ascii="Times New Roman" w:cs="Times New Roman" w:eastAsia="Times New Roman" w:hAnsi="Times New Roman"/>
          <w:sz w:val="18"/>
          <w:szCs w:val="18"/>
          <w:color w:val="auto"/>
        </w:rPr>
      </w:pPr>
    </w:p>
    <w:p>
      <w:pPr>
        <w:ind w:left="620" w:right="879" w:hanging="328"/>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board of directors and our CEO succession plans for the Company’s executive officers and making recommendations to the board of directors with respect to the selection of appropriate individuals to succeed those positions;</w:t>
      </w:r>
    </w:p>
    <w:p>
      <w:pPr>
        <w:spacing w:after="0" w:line="175" w:lineRule="exact"/>
        <w:rPr>
          <w:rFonts w:ascii="Times New Roman" w:cs="Times New Roman" w:eastAsia="Times New Roman" w:hAnsi="Times New Roman"/>
          <w:sz w:val="18"/>
          <w:szCs w:val="18"/>
          <w:color w:val="auto"/>
        </w:rPr>
      </w:pPr>
    </w:p>
    <w:p>
      <w:pPr>
        <w:ind w:left="620" w:right="819" w:hanging="328"/>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any Compensation Discussion and Analysis and report of the compensation committee to be included in any filing with the SEC;</w:t>
      </w:r>
    </w:p>
    <w:p>
      <w:pPr>
        <w:spacing w:after="0" w:line="161" w:lineRule="exact"/>
        <w:rPr>
          <w:rFonts w:ascii="Times New Roman" w:cs="Times New Roman" w:eastAsia="Times New Roman" w:hAnsi="Times New Roman"/>
          <w:sz w:val="18"/>
          <w:szCs w:val="18"/>
          <w:color w:val="auto"/>
        </w:rPr>
      </w:pPr>
    </w:p>
    <w:p>
      <w:pPr>
        <w:ind w:left="620" w:right="639" w:hanging="328"/>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any conflicts of interest raised by the work of the compensation consultant or advisor hired by the compensation committee or management and preparing any necessary disclosure in accordance with applicable law and applicable listing standards;</w:t>
      </w:r>
    </w:p>
    <w:p>
      <w:pPr>
        <w:spacing w:after="0" w:line="175" w:lineRule="exact"/>
        <w:rPr>
          <w:rFonts w:ascii="Times New Roman" w:cs="Times New Roman" w:eastAsia="Times New Roman" w:hAnsi="Times New Roman"/>
          <w:sz w:val="18"/>
          <w:szCs w:val="18"/>
          <w:color w:val="auto"/>
        </w:rPr>
      </w:pPr>
    </w:p>
    <w:p>
      <w:pPr>
        <w:ind w:left="620" w:right="299" w:hanging="328"/>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75" w:lineRule="exact"/>
        <w:rPr>
          <w:rFonts w:ascii="Times New Roman" w:cs="Times New Roman" w:eastAsia="Times New Roman" w:hAnsi="Times New Roman"/>
          <w:sz w:val="18"/>
          <w:szCs w:val="18"/>
          <w:color w:val="auto"/>
        </w:rPr>
      </w:pPr>
    </w:p>
    <w:p>
      <w:pPr>
        <w:ind w:left="620" w:right="519" w:hanging="328"/>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practices and policies of employee compensation as they relate to risk management and risk-taking incentives;</w:t>
      </w:r>
    </w:p>
    <w:p>
      <w:pPr>
        <w:spacing w:after="0" w:line="161" w:lineRule="exact"/>
        <w:rPr>
          <w:rFonts w:ascii="Times New Roman" w:cs="Times New Roman" w:eastAsia="Times New Roman" w:hAnsi="Times New Roman"/>
          <w:sz w:val="18"/>
          <w:szCs w:val="18"/>
          <w:color w:val="auto"/>
        </w:rPr>
      </w:pPr>
    </w:p>
    <w:p>
      <w:pPr>
        <w:ind w:left="620" w:right="479" w:hanging="328"/>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 and</w:t>
      </w:r>
    </w:p>
    <w:p>
      <w:pPr>
        <w:spacing w:after="0" w:line="161" w:lineRule="exact"/>
        <w:rPr>
          <w:rFonts w:ascii="Times New Roman" w:cs="Times New Roman" w:eastAsia="Times New Roman" w:hAnsi="Times New Roman"/>
          <w:sz w:val="18"/>
          <w:szCs w:val="18"/>
          <w:color w:val="auto"/>
        </w:rPr>
      </w:pPr>
    </w:p>
    <w:p>
      <w:pPr>
        <w:ind w:left="620" w:right="659" w:hanging="328"/>
        <w:spacing w:after="0" w:line="282"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discussing with management any transactions involving the pledge of our common stock as collateral pursuant to a loan agreement.</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The compensation committee will generally meet quarterly and with greater frequency, if necessary. The compensation committee also acts periodically by unanimous written consent in lieu of a formal meeting. The agenda for each meeting is developed by the chair of the compensation committee, in consultation with management. The compensation committee also meets in executive session without the presence of management.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CEO may not participate in, or be present during, any deliberations or determinations of the compensation committee regarding his compensation.</w:t>
      </w:r>
    </w:p>
    <w:p>
      <w:pPr>
        <w:spacing w:after="0" w:line="18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Root. In addition, under the charter, the compensation committee has the authority to obtain, at our expense,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advisors engaged for the purpose of advising the compensation committee. In particular, the compensation committee has the authority to retain compensation consultants to assist in its evaluation of executive officer and non-employee director compensation, including the authority to approve the consultant’s reasonable fees and other retention terms.</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1228" w:right="1440" w:bottom="1440" w:gutter="0" w:footer="0" w:header="0"/>
          <w:type w:val="continuous"/>
        </w:sectPr>
      </w:pPr>
    </w:p>
    <w:bookmarkStart w:id="24" w:name="page25"/>
    <w:bookmarkEnd w:id="24"/>
    <w:p>
      <w:pPr>
        <w:ind w:left="300" w:right="31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Generally, the compensation committee’s process for determining executive compensation is comprised of two related elements: (i) the determination of compensation levels; and (ii) the establishment of performance objectives for the current year. For executives other than our CEO, the compensation committee solicits and considers evaluations and recommendations submitted to the compensation committee by our CEO. The compensation committee considers the results of our CEO’s performance evaluation performed by the board of directors, and the compensation committee determines any adjustments to his compensation as well as equity awards to be granted. For all executive officers and non-employee directors, as part of its deliberations, the compensation committee may review and consider, as appropriate, materials such as financial reports and projections, operational data, executive and director stock ownership information, Company stock performance data, analyses of historical executive compensation levels and current Company-wide compensation levels and, if applicable, recommendations of the compensation committee’s compensation consultant, including analyses of executive and director compensation paid at other companies identified by the consultant. For more information regarding the role of management and the compensation consultant in determining or recommending the amount or form of executive compensation, see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below.</w:t>
      </w:r>
    </w:p>
    <w:p>
      <w:pPr>
        <w:spacing w:after="0" w:line="197"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To the extent permitted by the applicable listing standard requirements and applicable law, the compensation committee is authorized under its charter to delegate any of its responsibilities to one or more subcommittees comprised of one or more of members of the board of directors, and certain of its responsibilities to one or more officers or other employees of the Company.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Mses. Szudarek (Chair), Kramer, Birnbaum and Dorsey and Mr. Ulman served on our compensation committee during 2025. The board of directors determined that each member qualified as independent. No member of the compensation committee in 2025 was at any time during 2025 or at any other time an officer or employee of ours. No committee member had any relationship with us requiring disclosure under Item 404 of Regulation S-K of the Exchange Act. During 2025, none of our executive officers served as a member on the board of directors or compensation committee of any other for-profit entity that has an executive officer serving as a member of our compensation committee or board of directors.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Communication with Compensation Committee Members</w:t>
      </w:r>
    </w:p>
    <w:p>
      <w:pPr>
        <w:spacing w:after="0" w:line="227"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We believe constructive dialogue with our stockholders provides meaningful feedback about specific named executive officer compensation practices and programs and encourage stockholders to communicate directly with both management of the Company and the compensation committee about named executive officer compensation. Stockholders may contact the compensation committee chair to provide input on named executive officer compensation matters at any time by email at: proxy@joinroot.com.</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Our nominating and governance committee is comprised of Jerri DeVard, Nancy Kramer and Donna Dorsey. The chair of our nominating and governance committee is Ms. DeVard. Our board of directors has determined that each member of the nominating and governance committee that served on the committee in 2025 and each member that continues to serve on the committee is independent under the listing standards.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Specific responsibilities of our nominating and governance committee include:</w:t>
      </w:r>
    </w:p>
    <w:p>
      <w:pPr>
        <w:spacing w:after="0" w:line="225" w:lineRule="exact"/>
        <w:rPr>
          <w:sz w:val="20"/>
          <w:szCs w:val="20"/>
          <w:color w:val="auto"/>
        </w:rPr>
      </w:pPr>
    </w:p>
    <w:p>
      <w:pPr>
        <w:ind w:left="620" w:right="819" w:hanging="328"/>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161" w:lineRule="exact"/>
        <w:rPr>
          <w:rFonts w:ascii="Times New Roman" w:cs="Times New Roman" w:eastAsia="Times New Roman" w:hAnsi="Times New Roman"/>
          <w:sz w:val="18"/>
          <w:szCs w:val="18"/>
          <w:color w:val="auto"/>
        </w:rPr>
      </w:pPr>
    </w:p>
    <w:p>
      <w:pPr>
        <w:ind w:left="620" w:right="299" w:hanging="328"/>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161" w:lineRule="exact"/>
        <w:rPr>
          <w:rFonts w:ascii="Times New Roman" w:cs="Times New Roman" w:eastAsia="Times New Roman" w:hAnsi="Times New Roman"/>
          <w:sz w:val="18"/>
          <w:szCs w:val="18"/>
          <w:color w:val="auto"/>
        </w:rPr>
      </w:pPr>
    </w:p>
    <w:p>
      <w:pPr>
        <w:ind w:left="620" w:right="479" w:hanging="328"/>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1228" w:right="1440" w:bottom="1440" w:gutter="0" w:footer="0" w:header="0"/>
          <w:type w:val="continuous"/>
        </w:sectPr>
      </w:pPr>
    </w:p>
    <w:bookmarkStart w:id="25" w:name="page26"/>
    <w:bookmarkEnd w:id="25"/>
    <w:p>
      <w:pPr>
        <w:ind w:left="620" w:right="379" w:hanging="32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overseeing the process for periodic evaluations of the board of directors’ performance, including committees of the board of directors and approving the retention of director search firms;</w:t>
      </w:r>
    </w:p>
    <w:p>
      <w:pPr>
        <w:spacing w:after="0" w:line="161" w:lineRule="exact"/>
        <w:rPr>
          <w:rFonts w:ascii="Times New Roman" w:cs="Times New Roman" w:eastAsia="Times New Roman" w:hAnsi="Times New Roman"/>
          <w:sz w:val="18"/>
          <w:szCs w:val="18"/>
          <w:color w:val="auto"/>
        </w:rPr>
      </w:pPr>
    </w:p>
    <w:p>
      <w:pPr>
        <w:ind w:left="620" w:right="379" w:hanging="32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providing input to management on our risks, policies, strategies and programs related to matters of sustainability, corporate social responsibility and governance;</w:t>
      </w:r>
    </w:p>
    <w:p>
      <w:pPr>
        <w:spacing w:after="0" w:line="161" w:lineRule="exact"/>
        <w:rPr>
          <w:rFonts w:ascii="Times New Roman" w:cs="Times New Roman" w:eastAsia="Times New Roman" w:hAnsi="Times New Roman"/>
          <w:sz w:val="18"/>
          <w:szCs w:val="18"/>
          <w:color w:val="auto"/>
        </w:rPr>
      </w:pPr>
    </w:p>
    <w:p>
      <w:pPr>
        <w:ind w:left="620" w:right="959" w:hanging="32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the Company’s engagement with stockholders and responsiveness to stockholder votes on governance matters; and</w:t>
      </w:r>
    </w:p>
    <w:p>
      <w:pPr>
        <w:spacing w:after="0" w:line="161" w:lineRule="exact"/>
        <w:rPr>
          <w:rFonts w:ascii="Times New Roman" w:cs="Times New Roman" w:eastAsia="Times New Roman" w:hAnsi="Times New Roman"/>
          <w:sz w:val="18"/>
          <w:szCs w:val="18"/>
          <w:color w:val="auto"/>
        </w:rPr>
      </w:pPr>
    </w:p>
    <w:p>
      <w:pPr>
        <w:ind w:left="620" w:right="439" w:hanging="32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disclosure of corporate governance practices and policies and environmental, social and governance initiatives and oversight.</w:t>
      </w:r>
    </w:p>
    <w:p>
      <w:pPr>
        <w:spacing w:after="0" w:line="16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nominating and governance committee believes that candidates for director should have certain minimum qualifications, including the ability to read and understand basic financial statements and having the highest personal integrity and ethics. The nominating and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stockholders. These qualifications may be modified from time to time. Candidates for director nominees are reviewed in the context of the current composition of the board of directors, the operating requirements of Root and the long-term interests of our stockholders. In conducting this assessment, the nominating and governance committee typically considers diversity (including gender identity, race, ethnicity, nationality, religion, disability, age and sexual orientation), skills and such other factors as it deems appropriate, given the current needs of the board of directors and our business, to maintain a balance of knowledge, experience and capability.</w:t>
      </w:r>
    </w:p>
    <w:p>
      <w:pPr>
        <w:spacing w:after="0" w:line="190"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governance committee reviews these directors’ overall service to Root during their terms, including the number of meetings attended, level of participation, quality of performance and any other relationships and transactions that might impair the directors’ independence. In the case of new director candidates, our nominating and governance committee also evaluates whether the nominee is independent for Nasdaq purposes, based upon applicable listing standards, applicable SEC rules and regulations and the advice of counsel, if necessary. Our nominating and governance committee conducts any appropriate and necessary inquiries into the backgrounds and qualifications of potential candidates after considering the function and needs of our board of directors. Our nominating and governance committee meets to discuss and consider the candidates’ qualifications and then selects a nominee for recommendation to our board of directors.</w:t>
      </w:r>
    </w:p>
    <w:p>
      <w:pPr>
        <w:spacing w:after="0" w:line="19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Our nominating and governance committee will consider stockholder recommendations of director candidates, so long as they comply with applicable law and our Amended and Restated Bylaws, which procedures are summarized below, and will review the qualifications of any such candidate in accordance with the criteria described in the two preceding paragraphs. Stockholders who wish to recommend individuals for consideration by our nominating and governance committee to become nominees for election to our board of directors should do so by delivering a written recommendation to our nominating and governance committee at 80 E. Rich Street, Suite 500, Columbus, Ohio 43215, Attention: Secretary, not later than the close of business on the 90th day nor earlier than the close of business on the 120th day prior to the first anniversary of the Annual Meeting.</w:t>
      </w:r>
    </w:p>
    <w:p>
      <w:pPr>
        <w:spacing w:after="0" w:line="19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Each submission must include, among other things, the name, age, business address and residence address of the proposed candidate, the principal occupation or employment of the proposed candidate, details of the proposed candidate’s ownership of our capital stock, a description of the proposed candidate’s business experience for at least the last five years and a description of the proposed candidate’s qualifications as a director. Any such submission must be accompanied by the written consent of the proposed candidate to be named as a nominee and to serve as a director if elected.</w:t>
      </w:r>
    </w:p>
    <w:p>
      <w:pPr>
        <w:spacing w:after="0" w:line="187"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If, rather than submitting a candidate to the nominating and governance committee for consideration, you wish to formally nominate a director pursuant to proxy materials that you will prepare and file with the SEC, please see the deadline described in “</w:t>
      </w:r>
      <w:r>
        <w:rPr>
          <w:rFonts w:ascii="Times New Roman" w:cs="Times New Roman" w:eastAsia="Times New Roman" w:hAnsi="Times New Roman"/>
          <w:sz w:val="18"/>
          <w:szCs w:val="18"/>
          <w:i w:val="1"/>
          <w:iCs w:val="1"/>
          <w:color w:val="auto"/>
        </w:rPr>
        <w:t>When are stockholder proposals due for next year’s annual meeting?</w:t>
      </w:r>
      <w:r>
        <w:rPr>
          <w:rFonts w:ascii="Times New Roman" w:cs="Times New Roman" w:eastAsia="Times New Roman" w:hAnsi="Times New Roman"/>
          <w:sz w:val="18"/>
          <w:szCs w:val="18"/>
          <w:color w:val="auto"/>
        </w:rPr>
        <w:t xml:space="preserve"> ” above and refer to our</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019"/>
          </w:cols>
          <w:pgMar w:left="1440" w:top="1228" w:right="1440" w:bottom="1440" w:gutter="0" w:footer="0" w:header="0"/>
          <w:type w:val="continuous"/>
        </w:sectPr>
      </w:pPr>
    </w:p>
    <w:bookmarkStart w:id="26" w:name="page27"/>
    <w:bookmarkEnd w:id="26"/>
    <w:p>
      <w:pPr>
        <w:ind w:left="300" w:right="4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Amended and Restated Bylaws for a complete description of the required procedures for nominating a candidate to our board of directors.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Evaluating Board and Committee Effectiveness</w:t>
      </w:r>
    </w:p>
    <w:p>
      <w:pPr>
        <w:spacing w:after="0" w:line="233"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Our nominating and governance committee oversees the board of directors and committee self-evaluation process that involves the opportunity for each member of the board of directors to complete detailed surveys and to participate in a one-on-one facilitated interview with an independent third party, which process is designed to assess the effectiveness of the board of directors as a whole and, separately, each of its committees. The surveys and interview seek feedback on the board of directors and committee composition and organization, the frequency and content of board of directors and committee meetings, the quality of management presentations to the board of directors and its committees, the board of directors’ relationship to senior management, and the performance of the board of directors and its committees in light of the responsibilities of each body established in our Corporate Governance Guidelines and the respective committee charters. Our board of directors and each of its standing committees performed a facilitated self-evaluation as described above beginning in late 2025 and met to review and discuss the results in early 2026. Our nominating and governance committee views this process, which combines the opportunity for each director to individually reflect on board of directors and committee effectiveness and to discuss their views with a third-party facilitator followed by a collaborative discussion as providing a meaningful assessment tool and a forum for discussing areas for improvement.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 Communications with the Board of Directors</w:t>
      </w:r>
    </w:p>
    <w:p>
      <w:pPr>
        <w:spacing w:after="0" w:line="246"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formal process by which stockholders may communicate with the board of directors or any of its directors. Stockholders wishing to communicate with the board of directors or an individual director may send a written communication c/o Root, Inc., 80 E. Rich Street, Suite 500, Columbus, Ohio 43215, Attention: Secretary. Written communications may be submitted anonymously or confidentially and may, at the discretion of the person submitting the communication, indicate whether the person is a stockholder or other interested party. Each communication will be reviewed by the Secretary to determine whether it is appropriate for presentation to the board of directors or such director. Examples of inappropriate communications include product complaints, product inquiries, new product suggestions, resumes or job inquiries, surveys, solicitations or advertisements or hostile communications.</w:t>
      </w:r>
    </w:p>
    <w:p>
      <w:pPr>
        <w:spacing w:after="0" w:line="188"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Communications determined by the Secretary to be appropriate for presentation to the board of directors or such director will be submitted to the board of directors or such director on a periodic basis. Communications determined by the Secretary to be inappropriate for presentation will still be made available to any non-management director upon such director’s request.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Code of Business Conduct and Ethics and Company Values</w:t>
      </w:r>
    </w:p>
    <w:p>
      <w:pPr>
        <w:spacing w:after="0" w:line="233"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the Root, Inc. Code of Business Conduct and Ethics that applies to all officers, non-employee directors and employees. In addition to applicable laws and regulations, our Code of Business Conduct and Ethics, Company values and policies provide the grounding for our ethical framework. The Code of Business Conduct and Ethics is available on our website at </w:t>
      </w:r>
      <w:r>
        <w:rPr>
          <w:rFonts w:ascii="Times New Roman" w:cs="Times New Roman" w:eastAsia="Times New Roman" w:hAnsi="Times New Roman"/>
          <w:sz w:val="18"/>
          <w:szCs w:val="18"/>
          <w:i w:val="1"/>
          <w:iCs w:val="1"/>
          <w:color w:val="auto"/>
        </w:rPr>
        <w:t>ir.joinroot.com</w:t>
      </w:r>
      <w:r>
        <w:rPr>
          <w:rFonts w:ascii="Times New Roman" w:cs="Times New Roman" w:eastAsia="Times New Roman" w:hAnsi="Times New Roman"/>
          <w:sz w:val="18"/>
          <w:szCs w:val="18"/>
          <w:color w:val="auto"/>
        </w:rPr>
        <w:t xml:space="preserve"> . If we make any substantive amendments to the Code of Business Conduct and Ethics or grant any waiver from a provision of the Code of Business Conduct and Ethics to any executive officer or non-employee director, we will promptly disclose the nature of the amendment or waiver on our website.</w:t>
      </w:r>
    </w:p>
    <w:p>
      <w:pPr>
        <w:spacing w:after="0" w:line="18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Employees are encouraged to report any unusual behavior or any non-compliant activities through a variety of vehicles including our anonymous reporting system. On an annual basis, we provide ethics training on our Code of Business Conduct and Ethics to, and require acknowledgement thereof by, every employee. We strive to ensure our new employees know how and what to report and are encouraged through our values to challenge us and be courageous. We have an open-door policy that empowers employees to reach out to leaders, our People team, our compliance and/or internal audit teams to ensure that their concerns are heard and addressed.</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019"/>
          </w:cols>
          <w:pgMar w:left="1440" w:top="1228" w:right="1440" w:bottom="1440" w:gutter="0" w:footer="0" w:header="0"/>
          <w:type w:val="continuous"/>
        </w:sectPr>
      </w:pPr>
    </w:p>
    <w:bookmarkStart w:id="27" w:name="page28"/>
    <w:bookmarkEnd w:id="27"/>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Corporate Governance Guidelines</w:t>
      </w:r>
    </w:p>
    <w:p>
      <w:pPr>
        <w:spacing w:after="0" w:line="233"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adopted the Root, Inc. Corporate Governance Guidelines for the conduct and operation of the board of directors in order to give directors a framework for effectively pursuing our objectives for the benefit of our stockholders. The Corporate Governance Guidelines set forth the practices the board of directors intends to follow with respect to board composition and selection, board meetings and involvement of senior management, CEO performance evaluation, management succession planning and board committees and compensation. The Corporate Governance Guidelines may be viewed on our website at </w:t>
      </w:r>
      <w:r>
        <w:rPr>
          <w:rFonts w:ascii="Times New Roman" w:cs="Times New Roman" w:eastAsia="Times New Roman" w:hAnsi="Times New Roman"/>
          <w:sz w:val="18"/>
          <w:szCs w:val="18"/>
          <w:i w:val="1"/>
          <w:iCs w:val="1"/>
          <w:color w:val="auto"/>
        </w:rPr>
        <w:t>ir.joinroot.com</w:t>
      </w:r>
      <w:r>
        <w:rPr>
          <w:rFonts w:ascii="Times New Roman" w:cs="Times New Roman" w:eastAsia="Times New Roman" w:hAnsi="Times New Roman"/>
          <w:sz w:val="18"/>
          <w:szCs w:val="18"/>
          <w:color w:val="auto"/>
        </w:rPr>
        <w:t xml:space="preserve"> .</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Policy; Prohibition on Hedging, Short Sales and Pledging</w:t>
      </w:r>
    </w:p>
    <w:p>
      <w:pPr>
        <w:spacing w:after="0" w:line="233"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We have adopted the Amended and Restated Insider Trading Policy governing the purchase or sale of our securities by our officers, employees and members of the board of directors, as well as designated consultants, and have implemented procedures applicable to us, that we believe are reasonably designed to promote compliance with insider trading laws, rules and regulations, and the applicable listing standards. A copy of our Amended and Restated Insider Trading Policy is filed as Exhibit 19.1 to the Company’s Annual Report on Form 10-K for the year ended December 31, 2025.</w:t>
      </w:r>
    </w:p>
    <w:p>
      <w:pPr>
        <w:spacing w:after="0" w:line="187"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Amended and Restated Insider Trading Policy also prohibits hedging or monetization transactions with respect to our Class A common stock, including through the use of financial instruments such as prepaid variable forwards, equity swaps, collars and exchange funds. In addition, our Amended and Restated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except by our non-employee directors and our executive officers with the prior approval of our Chief Financial Officer and Chief Legal Officer and Secretary, pledging our shares as collateral for a loan. None of our executive officers or non-employee directors have pledged our equity securities as of the date hereof.</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1215" w:right="1440" w:bottom="1440" w:gutter="0" w:footer="0" w:header="0"/>
          <w:type w:val="continuous"/>
        </w:sectPr>
      </w:pPr>
    </w:p>
    <w:bookmarkStart w:id="28" w:name="page29"/>
    <w:bookmarkEnd w:id="28"/>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Corporate Social Responsibility at Root</w:t>
      </w:r>
    </w:p>
    <w:p>
      <w:pPr>
        <w:spacing w:after="0" w:line="233"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Our board of directors has assigned oversight of risks, policies, strategies, and programs related to sustainability, corporate social responsibility, and governance to the nominating and governance committee. Corporate social responsibility (“CSR”) initiatives are led by the Chief Communications Officer and Chief Legal Officer and Secretary.</w:t>
      </w:r>
    </w:p>
    <w:p>
      <w:pPr>
        <w:spacing w:after="0" w:line="180" w:lineRule="exact"/>
        <w:rPr>
          <w:sz w:val="20"/>
          <w:szCs w:val="20"/>
          <w:color w:val="auto"/>
        </w:rPr>
      </w:pPr>
    </w:p>
    <w:p>
      <w:pPr>
        <w:jc w:val="both"/>
        <w:ind w:left="300" w:right="359"/>
        <w:spacing w:after="0" w:line="289" w:lineRule="auto"/>
        <w:rPr>
          <w:sz w:val="20"/>
          <w:szCs w:val="20"/>
          <w:color w:val="auto"/>
        </w:rPr>
      </w:pPr>
      <w:r>
        <w:rPr>
          <w:rFonts w:ascii="Times New Roman" w:cs="Times New Roman" w:eastAsia="Times New Roman" w:hAnsi="Times New Roman"/>
          <w:sz w:val="17"/>
          <w:szCs w:val="17"/>
          <w:color w:val="auto"/>
        </w:rPr>
        <w:t>Since our founding in 2015, Root has consistently pushed the boundaries of the insurance industry using technology and data science to deliver customer-centric solutions. These solutions come with a commitment to our community, our industry, and our planet. As we continue to innovate and evolve, so does our commitment to these principles.</w:t>
      </w:r>
    </w:p>
    <w:p>
      <w:pPr>
        <w:spacing w:after="0" w:line="158"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addition to the highlights below, Root’s actuarial and data science teams continue to closely monitor factors such as climate, seasonality, and catastrophic events and their potential impact on the Company’s financial performance. In parallel, our enterprise risk management working group proactively identifies, monitors, and mitigates emerging risks across the organization to support resilient operations and long-term financial stability. To further raise awareness of safer driving behaviors, the Company launched a further iteration of its Focused Driving Report, highlighting the states and cities with the most and fewest focused drivers.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2025 Highlights</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1215"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Information Security and Privacy</w:t>
      </w:r>
    </w:p>
    <w:p>
      <w:pPr>
        <w:spacing w:after="0" w:line="233" w:lineRule="exact"/>
        <w:rPr>
          <w:sz w:val="20"/>
          <w:szCs w:val="20"/>
          <w:color w:val="auto"/>
        </w:rPr>
      </w:pPr>
    </w:p>
    <w:p>
      <w:pPr>
        <w:ind w:left="300" w:right="359"/>
        <w:spacing w:after="0" w:line="247" w:lineRule="auto"/>
        <w:rPr>
          <w:sz w:val="20"/>
          <w:szCs w:val="20"/>
          <w:color w:val="auto"/>
        </w:rPr>
      </w:pPr>
      <w:r>
        <w:rPr>
          <w:rFonts w:ascii="Times New Roman" w:cs="Times New Roman" w:eastAsia="Times New Roman" w:hAnsi="Times New Roman"/>
          <w:sz w:val="18"/>
          <w:szCs w:val="18"/>
          <w:color w:val="auto"/>
        </w:rPr>
        <w:t>Our board of directors, through its audit, risk and finance committee, oversees the implementation and maintenance of an Information Security Program designed to protect the confidentiality, integrity, and availability of our information systems and data (including nonpublic information in our possession, custody, or control), as well as comply with privacy and information security program requirements for insurers as set forth in applicable state laws and regulations. Mr. Hilsheimer, the chair of the audit, risk and finance committee, is certified in cybersecurity oversight by the National Association of Corporate Directors.</w:t>
      </w:r>
    </w:p>
    <w:p>
      <w:pPr>
        <w:spacing w:after="0" w:line="180" w:lineRule="exact"/>
        <w:rPr>
          <w:sz w:val="20"/>
          <w:szCs w:val="20"/>
          <w:color w:val="auto"/>
        </w:rPr>
      </w:pPr>
    </w:p>
    <w:p>
      <w:pPr>
        <w:ind w:left="300" w:right="339"/>
        <w:spacing w:after="0" w:line="245" w:lineRule="auto"/>
        <w:rPr>
          <w:sz w:val="20"/>
          <w:szCs w:val="20"/>
          <w:color w:val="auto"/>
        </w:rPr>
      </w:pPr>
      <w:r>
        <w:rPr>
          <w:rFonts w:ascii="Times New Roman" w:cs="Times New Roman" w:eastAsia="Times New Roman" w:hAnsi="Times New Roman"/>
          <w:sz w:val="18"/>
          <w:szCs w:val="18"/>
          <w:color w:val="auto"/>
        </w:rPr>
        <w:t>The board of directors, or its delegate, is required to receive an annual report of the Information Security Program. The topics covered by these reports include overall status and compliance, any material matters, recommendations for changes to the Information Security Program, results from risk assessments and other testing, any security events and management responses to the same. The Chief Information Security Officer leads day-to-day management of our Information Security program. All of our employees are required to participate in information security and privacy training on a monthly basis. The Incident Response team, led by our Chief Legal Officer and Secretary, escalates material information security incidents to our executive officers and the board of directors.</w:t>
      </w:r>
    </w:p>
    <w:p>
      <w:pPr>
        <w:spacing w:after="0" w:line="177" w:lineRule="exact"/>
        <w:rPr>
          <w:sz w:val="20"/>
          <w:szCs w:val="20"/>
          <w:color w:val="auto"/>
        </w:rPr>
      </w:pPr>
    </w:p>
    <w:p>
      <w:pPr>
        <w:jc w:val="both"/>
        <w:ind w:left="300" w:right="3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 to find more information </w:t>
      </w:r>
      <w:r>
        <w:rPr>
          <w:rFonts w:ascii="Times New Roman" w:cs="Times New Roman" w:eastAsia="Times New Roman" w:hAnsi="Times New Roman"/>
          <w:sz w:val="18"/>
          <w:szCs w:val="18"/>
          <w:color w:val="auto"/>
        </w:rPr>
        <w:t>. Our governance documents, including our Amended and Restated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Amended and Restated Bylaws, committee charters, policies and other key disclosures can be found under “Governance” and “Documents &amp; Charters” on our website at </w:t>
      </w:r>
      <w:r>
        <w:rPr>
          <w:rFonts w:ascii="Times New Roman" w:cs="Times New Roman" w:eastAsia="Times New Roman" w:hAnsi="Times New Roman"/>
          <w:sz w:val="18"/>
          <w:szCs w:val="18"/>
          <w:i w:val="1"/>
          <w:iCs w:val="1"/>
          <w:color w:val="auto"/>
        </w:rPr>
        <w:t>ir.joinroot.com</w:t>
      </w:r>
      <w:r>
        <w:rPr>
          <w:rFonts w:ascii="Times New Roman" w:cs="Times New Roman" w:eastAsia="Times New Roman" w:hAnsi="Times New Roman"/>
          <w:sz w:val="18"/>
          <w:szCs w:val="18"/>
          <w:color w:val="auto"/>
        </w:rPr>
        <w:t xml:space="preserve"> .</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019"/>
          </w:cols>
          <w:pgMar w:left="1440" w:top="1215" w:right="1440" w:bottom="1440" w:gutter="0" w:footer="0" w:header="0"/>
          <w:type w:val="continuous"/>
        </w:sectPr>
      </w:pPr>
    </w:p>
    <w:bookmarkStart w:id="30" w:name="page31"/>
    <w:bookmarkEnd w:id="30"/>
    <w:p>
      <w:pPr>
        <w:ind w:left="1680"/>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NON-EMPLOYEE DIRECTOR COMPENSATION</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Non-Employee Director Compensation Policy</w:t>
      </w:r>
    </w:p>
    <w:p>
      <w:pPr>
        <w:spacing w:after="0" w:line="206" w:lineRule="exact"/>
        <w:rPr>
          <w:sz w:val="20"/>
          <w:szCs w:val="20"/>
          <w:color w:val="auto"/>
        </w:rPr>
      </w:pPr>
    </w:p>
    <w:p>
      <w:pPr>
        <w:ind w:left="360" w:right="359"/>
        <w:spacing w:after="0" w:line="255" w:lineRule="auto"/>
        <w:rPr>
          <w:sz w:val="20"/>
          <w:szCs w:val="20"/>
          <w:color w:val="auto"/>
        </w:rPr>
      </w:pPr>
      <w:r>
        <w:rPr>
          <w:rFonts w:ascii="Times New Roman" w:cs="Times New Roman" w:eastAsia="Times New Roman" w:hAnsi="Times New Roman"/>
          <w:sz w:val="18"/>
          <w:szCs w:val="18"/>
          <w:color w:val="auto"/>
        </w:rPr>
        <w:t>The non-employee director compensation policy (the “Director Compensation Policy”) was modified in May 2025, adjusting director retention amounts, as reflected below. These modifications are designed to enable us to attract and retain, on a long-term basis, highly qualified non-employee directors. Under the Director Compensation Policy, each director who is not an employee of Root is eligible to receive the following annual cash retainers for their service, effective May 1, 2025:</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720" w:type="dxa"/>
            <w:vAlign w:val="bottom"/>
          </w:tcPr>
          <w:p>
            <w:pPr>
              <w:spacing w:after="0"/>
              <w:rPr>
                <w:sz w:val="15"/>
                <w:szCs w:val="15"/>
                <w:color w:val="auto"/>
              </w:rPr>
            </w:pPr>
          </w:p>
        </w:tc>
        <w:tc>
          <w:tcPr>
            <w:tcW w:w="15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Eff. May</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 May</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3720" w:type="dxa"/>
            <w:vAlign w:val="bottom"/>
          </w:tcPr>
          <w:p>
            <w:pPr>
              <w:spacing w:after="0"/>
              <w:rPr>
                <w:sz w:val="14"/>
                <w:szCs w:val="14"/>
                <w:color w:val="auto"/>
              </w:rPr>
            </w:pPr>
          </w:p>
        </w:tc>
        <w:tc>
          <w:tcPr>
            <w:tcW w:w="15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4"/>
                <w:szCs w:val="14"/>
                <w:color w:val="auto"/>
              </w:rPr>
            </w:pPr>
          </w:p>
        </w:tc>
        <w:tc>
          <w:tcPr>
            <w:tcW w:w="9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4"/>
                <w:szCs w:val="14"/>
                <w:color w:val="auto"/>
              </w:rPr>
            </w:pPr>
          </w:p>
        </w:tc>
      </w:tr>
      <w:tr>
        <w:trPr>
          <w:trHeight w:val="175"/>
        </w:trPr>
        <w:tc>
          <w:tcPr>
            <w:tcW w:w="3720" w:type="dxa"/>
            <w:vAlign w:val="bottom"/>
          </w:tcPr>
          <w:p>
            <w:pPr>
              <w:spacing w:after="0"/>
              <w:rPr>
                <w:sz w:val="15"/>
                <w:szCs w:val="15"/>
                <w:color w:val="auto"/>
              </w:rPr>
            </w:pPr>
          </w:p>
        </w:tc>
        <w:tc>
          <w:tcPr>
            <w:tcW w:w="15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Chair</w:t>
            </w:r>
          </w:p>
        </w:tc>
        <w:tc>
          <w:tcPr>
            <w:tcW w:w="300" w:type="dxa"/>
            <w:vAlign w:val="bottom"/>
          </w:tcPr>
          <w:p>
            <w:pPr>
              <w:spacing w:after="0"/>
              <w:rPr>
                <w:sz w:val="15"/>
                <w:szCs w:val="15"/>
                <w:color w:val="auto"/>
              </w:rPr>
            </w:pPr>
          </w:p>
        </w:tc>
        <w:tc>
          <w:tcPr>
            <w:tcW w:w="9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Chair</w:t>
            </w:r>
          </w:p>
        </w:tc>
        <w:tc>
          <w:tcPr>
            <w:tcW w:w="240" w:type="dxa"/>
            <w:vAlign w:val="bottom"/>
          </w:tcPr>
          <w:p>
            <w:pPr>
              <w:spacing w:after="0"/>
              <w:rPr>
                <w:sz w:val="15"/>
                <w:szCs w:val="15"/>
                <w:color w:val="auto"/>
              </w:rPr>
            </w:pPr>
          </w:p>
        </w:tc>
      </w:tr>
      <w:tr>
        <w:trPr>
          <w:trHeight w:val="194"/>
        </w:trPr>
        <w:tc>
          <w:tcPr>
            <w:tcW w:w="3720" w:type="dxa"/>
            <w:vAlign w:val="bottom"/>
            <w:tcBorders>
              <w:bottom w:val="single" w:sz="8" w:color="FF5715"/>
            </w:tcBorders>
          </w:tcPr>
          <w:p>
            <w:pPr>
              <w:spacing w:after="0"/>
              <w:rPr>
                <w:sz w:val="16"/>
                <w:szCs w:val="16"/>
                <w:color w:val="auto"/>
              </w:rPr>
            </w:pPr>
          </w:p>
        </w:tc>
        <w:tc>
          <w:tcPr>
            <w:tcW w:w="1520" w:type="dxa"/>
            <w:vAlign w:val="bottom"/>
            <w:tcBorders>
              <w:bottom w:val="single" w:sz="8" w:color="FF5715"/>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FF5715"/>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300" w:type="dxa"/>
            <w:vAlign w:val="bottom"/>
            <w:tcBorders>
              <w:bottom w:val="single" w:sz="8" w:color="FF5715"/>
            </w:tcBorders>
          </w:tcPr>
          <w:p>
            <w:pPr>
              <w:spacing w:after="0"/>
              <w:rPr>
                <w:sz w:val="16"/>
                <w:szCs w:val="16"/>
                <w:color w:val="auto"/>
              </w:rPr>
            </w:pPr>
          </w:p>
        </w:tc>
        <w:tc>
          <w:tcPr>
            <w:tcW w:w="980" w:type="dxa"/>
            <w:vAlign w:val="bottom"/>
            <w:tcBorders>
              <w:bottom w:val="single" w:sz="8" w:color="FF5715"/>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FF5715"/>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color w:val="auto"/>
              </w:rPr>
              <w:t>(2)</w:t>
            </w:r>
          </w:p>
        </w:tc>
        <w:tc>
          <w:tcPr>
            <w:tcW w:w="240" w:type="dxa"/>
            <w:vAlign w:val="bottom"/>
            <w:tcBorders>
              <w:bottom w:val="single" w:sz="8" w:color="FF5715"/>
            </w:tcBorders>
          </w:tcPr>
          <w:p>
            <w:pPr>
              <w:spacing w:after="0"/>
              <w:rPr>
                <w:sz w:val="16"/>
                <w:szCs w:val="16"/>
                <w:color w:val="auto"/>
              </w:rPr>
            </w:pPr>
          </w:p>
        </w:tc>
      </w:tr>
      <w:tr>
        <w:trPr>
          <w:trHeight w:val="243"/>
        </w:trPr>
        <w:tc>
          <w:tcPr>
            <w:tcW w:w="37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Board of Directors</w:t>
            </w:r>
          </w:p>
        </w:tc>
        <w:tc>
          <w:tcPr>
            <w:tcW w:w="1520" w:type="dxa"/>
            <w:vAlign w:val="bottom"/>
            <w:shd w:val="clear" w:color="auto" w:fill="DBDBDB"/>
          </w:tcPr>
          <w:p>
            <w:pPr>
              <w:jc w:val="right"/>
              <w:ind w:right="58"/>
              <w:spacing w:after="0"/>
              <w:rPr>
                <w:sz w:val="20"/>
                <w:szCs w:val="20"/>
                <w:color w:val="auto"/>
              </w:rPr>
            </w:pPr>
            <w:r>
              <w:rPr>
                <w:rFonts w:ascii="Times New Roman" w:cs="Times New Roman" w:eastAsia="Times New Roman" w:hAnsi="Times New Roman"/>
                <w:sz w:val="18"/>
                <w:szCs w:val="18"/>
                <w:color w:val="auto"/>
              </w:rPr>
              <w:t>85,000</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shd w:val="clear" w:color="auto" w:fill="DBDBDB"/>
          </w:tcPr>
          <w:p>
            <w:pPr>
              <w:jc w:val="right"/>
              <w:ind w:right="73"/>
              <w:spacing w:after="0"/>
              <w:rPr>
                <w:sz w:val="20"/>
                <w:szCs w:val="20"/>
                <w:color w:val="auto"/>
              </w:rPr>
            </w:pPr>
            <w:r>
              <w:rPr>
                <w:rFonts w:ascii="Times New Roman" w:cs="Times New Roman" w:eastAsia="Times New Roman" w:hAnsi="Times New Roman"/>
                <w:sz w:val="9"/>
                <w:szCs w:val="9"/>
                <w:color w:val="auto"/>
              </w:rPr>
              <w:t>(3)</w:t>
            </w:r>
          </w:p>
        </w:tc>
        <w:tc>
          <w:tcPr>
            <w:tcW w:w="980" w:type="dxa"/>
            <w:vAlign w:val="bottom"/>
            <w:shd w:val="clear" w:color="auto" w:fill="DBDBDB"/>
          </w:tcPr>
          <w:p>
            <w:pPr>
              <w:jc w:val="right"/>
              <w:ind w:right="117"/>
              <w:spacing w:after="0"/>
              <w:rPr>
                <w:sz w:val="20"/>
                <w:szCs w:val="20"/>
                <w:color w:val="auto"/>
              </w:rPr>
            </w:pPr>
            <w:r>
              <w:rPr>
                <w:rFonts w:ascii="Times New Roman" w:cs="Times New Roman" w:eastAsia="Times New Roman" w:hAnsi="Times New Roman"/>
                <w:sz w:val="18"/>
                <w:szCs w:val="18"/>
                <w:color w:val="auto"/>
              </w:rPr>
              <w:t>85,000</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DBDBDB"/>
          </w:tcPr>
          <w:p>
            <w:pPr>
              <w:jc w:val="right"/>
              <w:ind w:right="13"/>
              <w:spacing w:after="0"/>
              <w:rPr>
                <w:sz w:val="20"/>
                <w:szCs w:val="20"/>
                <w:color w:val="auto"/>
              </w:rPr>
            </w:pPr>
            <w:r>
              <w:rPr>
                <w:rFonts w:ascii="Times New Roman" w:cs="Times New Roman" w:eastAsia="Times New Roman" w:hAnsi="Times New Roman"/>
                <w:sz w:val="9"/>
                <w:szCs w:val="9"/>
                <w:color w:val="auto"/>
              </w:rPr>
              <w:t>(3)</w:t>
            </w:r>
          </w:p>
        </w:tc>
      </w:tr>
      <w:tr>
        <w:trPr>
          <w:trHeight w:val="256"/>
        </w:trPr>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Risk and Finance Committee</w:t>
            </w:r>
          </w:p>
        </w:tc>
        <w:tc>
          <w:tcPr>
            <w:tcW w:w="15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300" w:type="dxa"/>
            <w:vAlign w:val="bottom"/>
          </w:tcPr>
          <w:p>
            <w:pPr>
              <w:spacing w:after="0"/>
              <w:rPr>
                <w:sz w:val="22"/>
                <w:szCs w:val="22"/>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2"/>
                <w:szCs w:val="22"/>
                <w:color w:val="auto"/>
              </w:rPr>
            </w:pPr>
          </w:p>
        </w:tc>
      </w:tr>
      <w:tr>
        <w:trPr>
          <w:trHeight w:val="257"/>
        </w:trPr>
        <w:tc>
          <w:tcPr>
            <w:tcW w:w="37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Compensation Committee</w:t>
            </w:r>
          </w:p>
        </w:tc>
        <w:tc>
          <w:tcPr>
            <w:tcW w:w="1520" w:type="dxa"/>
            <w:vAlign w:val="bottom"/>
            <w:shd w:val="clear" w:color="auto" w:fill="DBDBDB"/>
          </w:tcPr>
          <w:p>
            <w:pPr>
              <w:jc w:val="right"/>
              <w:ind w:right="58"/>
              <w:spacing w:after="0"/>
              <w:rPr>
                <w:sz w:val="20"/>
                <w:szCs w:val="20"/>
                <w:color w:val="auto"/>
              </w:rPr>
            </w:pPr>
            <w:r>
              <w:rPr>
                <w:rFonts w:ascii="Times New Roman" w:cs="Times New Roman" w:eastAsia="Times New Roman" w:hAnsi="Times New Roman"/>
                <w:sz w:val="18"/>
                <w:szCs w:val="18"/>
                <w:color w:val="auto"/>
              </w:rPr>
              <w:t>7,500</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00" w:type="dxa"/>
            <w:vAlign w:val="bottom"/>
            <w:shd w:val="clear" w:color="auto" w:fill="DBDBDB"/>
          </w:tcPr>
          <w:p>
            <w:pPr>
              <w:spacing w:after="0"/>
              <w:rPr>
                <w:sz w:val="22"/>
                <w:szCs w:val="22"/>
                <w:color w:val="auto"/>
              </w:rPr>
            </w:pPr>
          </w:p>
        </w:tc>
        <w:tc>
          <w:tcPr>
            <w:tcW w:w="980" w:type="dxa"/>
            <w:vAlign w:val="bottom"/>
            <w:shd w:val="clear" w:color="auto" w:fill="DBDBDB"/>
          </w:tcPr>
          <w:p>
            <w:pPr>
              <w:jc w:val="right"/>
              <w:ind w:right="117"/>
              <w:spacing w:after="0"/>
              <w:rPr>
                <w:sz w:val="20"/>
                <w:szCs w:val="20"/>
                <w:color w:val="auto"/>
              </w:rPr>
            </w:pPr>
            <w:r>
              <w:rPr>
                <w:rFonts w:ascii="Times New Roman" w:cs="Times New Roman" w:eastAsia="Times New Roman" w:hAnsi="Times New Roman"/>
                <w:sz w:val="18"/>
                <w:szCs w:val="18"/>
                <w:color w:val="auto"/>
              </w:rPr>
              <w:t>7,500</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DBDBDB"/>
          </w:tcPr>
          <w:p>
            <w:pPr>
              <w:spacing w:after="0"/>
              <w:rPr>
                <w:sz w:val="22"/>
                <w:szCs w:val="22"/>
                <w:color w:val="auto"/>
              </w:rPr>
            </w:pPr>
          </w:p>
        </w:tc>
      </w:tr>
      <w:tr>
        <w:trPr>
          <w:trHeight w:val="257"/>
        </w:trPr>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15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tcPr>
          <w:p>
            <w:pPr>
              <w:spacing w:after="0"/>
              <w:rPr>
                <w:sz w:val="22"/>
                <w:szCs w:val="22"/>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2"/>
                <w:szCs w:val="22"/>
                <w:color w:val="auto"/>
              </w:rPr>
            </w:pPr>
          </w:p>
        </w:tc>
      </w:tr>
      <w:tr>
        <w:trPr>
          <w:trHeight w:val="257"/>
        </w:trPr>
        <w:tc>
          <w:tcPr>
            <w:tcW w:w="37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Strategy Committee</w:t>
            </w:r>
          </w:p>
        </w:tc>
        <w:tc>
          <w:tcPr>
            <w:tcW w:w="1520" w:type="dxa"/>
            <w:vAlign w:val="bottom"/>
            <w:shd w:val="clear" w:color="auto" w:fill="DBDBDB"/>
          </w:tcPr>
          <w:p>
            <w:pPr>
              <w:jc w:val="right"/>
              <w:ind w:right="58"/>
              <w:spacing w:after="0"/>
              <w:rPr>
                <w:sz w:val="20"/>
                <w:szCs w:val="20"/>
                <w:color w:val="auto"/>
              </w:rPr>
            </w:pPr>
            <w:r>
              <w:rPr>
                <w:rFonts w:ascii="Times New Roman" w:cs="Times New Roman" w:eastAsia="Times New Roman" w:hAnsi="Times New Roman"/>
                <w:sz w:val="18"/>
                <w:szCs w:val="18"/>
                <w:color w:val="auto"/>
              </w:rPr>
              <w:t>5,000</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DBDBDB"/>
          </w:tcPr>
          <w:p>
            <w:pPr>
              <w:spacing w:after="0"/>
              <w:rPr>
                <w:sz w:val="22"/>
                <w:szCs w:val="22"/>
                <w:color w:val="auto"/>
              </w:rPr>
            </w:pPr>
          </w:p>
        </w:tc>
        <w:tc>
          <w:tcPr>
            <w:tcW w:w="980" w:type="dxa"/>
            <w:vAlign w:val="bottom"/>
            <w:shd w:val="clear" w:color="auto" w:fill="DBDBDB"/>
          </w:tcPr>
          <w:p>
            <w:pPr>
              <w:jc w:val="right"/>
              <w:ind w:right="117"/>
              <w:spacing w:after="0"/>
              <w:rPr>
                <w:sz w:val="20"/>
                <w:szCs w:val="20"/>
                <w:color w:val="auto"/>
              </w:rPr>
            </w:pPr>
            <w:r>
              <w:rPr>
                <w:rFonts w:ascii="Times New Roman" w:cs="Times New Roman" w:eastAsia="Times New Roman" w:hAnsi="Times New Roman"/>
                <w:sz w:val="18"/>
                <w:szCs w:val="18"/>
                <w:color w:val="auto"/>
              </w:rPr>
              <w:t>5,000</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DBDBDB"/>
          </w:tcPr>
          <w:p>
            <w:pPr>
              <w:spacing w:after="0"/>
              <w:rPr>
                <w:sz w:val="22"/>
                <w:szCs w:val="22"/>
                <w:color w:val="auto"/>
              </w:rPr>
            </w:pPr>
          </w:p>
        </w:tc>
      </w:tr>
    </w:tbl>
    <w:p>
      <w:pPr>
        <w:spacing w:after="0" w:line="166" w:lineRule="exact"/>
        <w:rPr>
          <w:sz w:val="20"/>
          <w:szCs w:val="20"/>
          <w:color w:val="auto"/>
        </w:rPr>
      </w:pPr>
    </w:p>
    <w:p>
      <w:pPr>
        <w:ind w:left="620" w:right="499" w:hanging="328"/>
        <w:spacing w:after="0" w:line="282" w:lineRule="auto"/>
        <w:tabs>
          <w:tab w:leader="none" w:pos="60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May 2025, the amounts listed in this column for committee chairs are paid in lieu of amounts received for applicable committee member service.</w:t>
      </w:r>
    </w:p>
    <w:p>
      <w:pPr>
        <w:spacing w:after="0" w:line="107" w:lineRule="exact"/>
        <w:rPr>
          <w:rFonts w:ascii="Times New Roman" w:cs="Times New Roman" w:eastAsia="Times New Roman" w:hAnsi="Times New Roman"/>
          <w:sz w:val="14"/>
          <w:szCs w:val="14"/>
          <w:color w:val="auto"/>
        </w:rPr>
      </w:pPr>
    </w:p>
    <w:p>
      <w:pPr>
        <w:ind w:left="620" w:right="899" w:hanging="328"/>
        <w:spacing w:after="0" w:line="302" w:lineRule="auto"/>
        <w:tabs>
          <w:tab w:leader="none" w:pos="57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May 2025, the amounts listed in this column for committee chairs were paid in addition to amounts received for applicable committee member service.</w:t>
      </w:r>
    </w:p>
    <w:p>
      <w:pPr>
        <w:spacing w:after="0" w:line="80" w:lineRule="exact"/>
        <w:rPr>
          <w:rFonts w:ascii="Times New Roman" w:cs="Times New Roman" w:eastAsia="Times New Roman" w:hAnsi="Times New Roman"/>
          <w:sz w:val="14"/>
          <w:szCs w:val="14"/>
          <w:color w:val="auto"/>
        </w:rPr>
      </w:pPr>
    </w:p>
    <w:p>
      <w:pPr>
        <w:ind w:left="620" w:right="459" w:hanging="328"/>
        <w:spacing w:after="0" w:line="302" w:lineRule="auto"/>
        <w:tabs>
          <w:tab w:leader="none" w:pos="60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annual retainer of $22,500 (previously $20,000) is also provided to our lead independent director and paid in addition to the board member retainer.</w:t>
      </w:r>
    </w:p>
    <w:p>
      <w:pPr>
        <w:spacing w:after="0" w:line="166"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cash compensation described above is payable to our eligible non-employee directors in equal quarterly installments. Non-employee directors also receive reimbursement for out-of-pocket expenses incurred in connection with attendance at meetings of the board of directors and committees.</w:t>
      </w:r>
    </w:p>
    <w:p>
      <w:pPr>
        <w:spacing w:after="0" w:line="176"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provides for an initial RSU grant to new directors and an annual RSU grant for then-serving directors with a value up to $175,000, with the initial RSU grant reflecting a prorated amount commensurate with a new director’s election date. The grant for 2025 of 1,119 RSUs had a targeted value of $150,000, generally vesting on the date of the 2026 Annual Meeting. For 2025, the value of each RSU award granted under the Director Compensation Policy was based on the targeted value divided by the closing price of a share of our Class A common stock on the date of grant, conforming with the methodology utilized for employee RSU grants.</w:t>
      </w:r>
    </w:p>
    <w:p>
      <w:pPr>
        <w:spacing w:after="0" w:line="229"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Under the Director Compensation Policy, each director may make an election to defer delivery of shares in settlement of RSU awards until such director retires from board service, or until immediately prior to a “change in control” (as defined in our 2020 Equity Incentive Plan (the “2020 Plan”)). In addition, each RSU held by a non-employee director who remains in service until immediately prior to a change in control of Root will become fully vested as of immediately prior to the closing of such change in control transaction.</w:t>
      </w:r>
    </w:p>
    <w:p>
      <w:pPr>
        <w:spacing w:after="0" w:line="183"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aggregate value of all compensation granted or paid to any non-employee director with respect to any calendar year, including awards granted and cash fees paid by us to such non-employee director, may not exceed $650,000 in total value, or if such non-employee director is first appointed or elected to our board of directors during such calendar year, $900,000 in total value.</w:t>
      </w:r>
    </w:p>
    <w:p>
      <w:pPr>
        <w:spacing w:after="0" w:line="180"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Notwithstanding the Director Compensation Policy, our board of directors or the compensation committee may make supplemental grants to our non-employee directors in its discretion (subject to the limits described in the preceding paragraph).</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1204" w:right="1440" w:bottom="1440" w:gutter="0" w:footer="0" w:header="0"/>
          <w:type w:val="continuous"/>
        </w:sectPr>
      </w:pPr>
    </w:p>
    <w:bookmarkStart w:id="31" w:name="page32"/>
    <w:bookmarkEnd w:id="31"/>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Non-Employee Director Compensation Table</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of directors</w:t>
      </w:r>
    </w:p>
    <w:p>
      <w:pPr>
        <w:spacing w:after="0" w:line="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by our non-employee directors during the year ended</w:t>
            </w:r>
          </w:p>
        </w:tc>
        <w:tc>
          <w:tcPr>
            <w:tcW w:w="4500" w:type="dxa"/>
            <w:vAlign w:val="bottom"/>
            <w:gridSpan w:val="4"/>
          </w:tcPr>
          <w:p>
            <w:pPr>
              <w:jc w:val="right"/>
              <w:ind w:right="14"/>
              <w:spacing w:after="0"/>
              <w:rPr>
                <w:sz w:val="20"/>
                <w:szCs w:val="20"/>
                <w:color w:val="auto"/>
              </w:rPr>
            </w:pPr>
            <w:r>
              <w:rPr>
                <w:rFonts w:ascii="Times New Roman" w:cs="Times New Roman" w:eastAsia="Times New Roman" w:hAnsi="Times New Roman"/>
                <w:sz w:val="18"/>
                <w:szCs w:val="18"/>
                <w:color w:val="auto"/>
              </w:rPr>
              <w:t>December 31, 2025 . The compensation for Mr. Timm, who</w:t>
            </w:r>
          </w:p>
        </w:tc>
      </w:tr>
      <w:tr>
        <w:trPr>
          <w:trHeight w:val="216"/>
        </w:trPr>
        <w:tc>
          <w:tcPr>
            <w:tcW w:w="6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served as a named executive officer and employee director, is set forth below under “</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—2025 Summary</w:t>
            </w: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44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4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20" w:type="dxa"/>
            <w:vAlign w:val="bottom"/>
          </w:tcPr>
          <w:p>
            <w:pPr>
              <w:spacing w:after="0"/>
              <w:rPr>
                <w:sz w:val="16"/>
                <w:szCs w:val="16"/>
                <w:color w:val="auto"/>
              </w:rPr>
            </w:pPr>
          </w:p>
        </w:tc>
      </w:tr>
      <w:tr>
        <w:trPr>
          <w:trHeight w:val="172"/>
        </w:trPr>
        <w:tc>
          <w:tcPr>
            <w:tcW w:w="3900" w:type="dxa"/>
            <w:vAlign w:val="bottom"/>
          </w:tcPr>
          <w:p>
            <w:pPr>
              <w:spacing w:after="0"/>
              <w:rPr>
                <w:sz w:val="14"/>
                <w:szCs w:val="14"/>
                <w:color w:val="auto"/>
              </w:rPr>
            </w:pPr>
          </w:p>
        </w:tc>
        <w:tc>
          <w:tcPr>
            <w:tcW w:w="144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440" w:type="dxa"/>
            <w:vAlign w:val="bottom"/>
          </w:tcPr>
          <w:p>
            <w:pPr>
              <w:spacing w:after="0"/>
              <w:rPr>
                <w:sz w:val="14"/>
                <w:szCs w:val="14"/>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0"/>
        </w:trPr>
        <w:tc>
          <w:tcPr>
            <w:tcW w:w="3900" w:type="dxa"/>
            <w:vAlign w:val="bottom"/>
            <w:tcBorders>
              <w:bottom w:val="single" w:sz="8" w:color="FF5715"/>
            </w:tcBorders>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Borders>
              <w:bottom w:val="single" w:sz="8" w:color="FF5715"/>
            </w:tcBorders>
          </w:tcPr>
          <w:p>
            <w:pPr>
              <w:jc w:val="center"/>
              <w:ind w:left="258"/>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(1)</w:t>
            </w:r>
          </w:p>
        </w:tc>
        <w:tc>
          <w:tcPr>
            <w:tcW w:w="440" w:type="dxa"/>
            <w:vAlign w:val="bottom"/>
            <w:tcBorders>
              <w:bottom w:val="single" w:sz="8" w:color="FF5715"/>
            </w:tcBorders>
          </w:tcPr>
          <w:p>
            <w:pPr>
              <w:spacing w:after="0"/>
              <w:rPr>
                <w:sz w:val="14"/>
                <w:szCs w:val="14"/>
                <w:color w:val="auto"/>
              </w:rPr>
            </w:pPr>
          </w:p>
        </w:tc>
        <w:tc>
          <w:tcPr>
            <w:tcW w:w="1200" w:type="dxa"/>
            <w:vAlign w:val="bottom"/>
            <w:tcBorders>
              <w:bottom w:val="single" w:sz="8" w:color="FF5715"/>
            </w:tcBorders>
          </w:tcPr>
          <w:p>
            <w:pPr>
              <w:jc w:val="center"/>
              <w:ind w:right="139"/>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(2)(3)</w:t>
            </w:r>
          </w:p>
        </w:tc>
        <w:tc>
          <w:tcPr>
            <w:tcW w:w="1420" w:type="dxa"/>
            <w:vAlign w:val="bottom"/>
            <w:tcBorders>
              <w:bottom w:val="single" w:sz="8" w:color="FF5715"/>
            </w:tcBorders>
          </w:tcPr>
          <w:p>
            <w:pPr>
              <w:jc w:val="center"/>
              <w:ind w:left="14"/>
              <w:spacing w:after="0" w:line="143" w:lineRule="exact"/>
              <w:rPr>
                <w:sz w:val="20"/>
                <w:szCs w:val="20"/>
                <w:color w:val="auto"/>
              </w:rPr>
            </w:pPr>
            <w:r>
              <w:rPr>
                <w:rFonts w:ascii="Times New Roman" w:cs="Times New Roman" w:eastAsia="Times New Roman" w:hAnsi="Times New Roman"/>
                <w:sz w:val="14"/>
                <w:szCs w:val="14"/>
                <w:b w:val="1"/>
                <w:bCs w:val="1"/>
                <w:color w:val="auto"/>
                <w:w w:val="97"/>
              </w:rPr>
              <w:t>($)</w:t>
            </w:r>
          </w:p>
        </w:tc>
      </w:tr>
      <w:tr>
        <w:trPr>
          <w:trHeight w:val="243"/>
        </w:trPr>
        <w:tc>
          <w:tcPr>
            <w:tcW w:w="39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Douglas Ulman</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440" w:type="dxa"/>
            <w:vAlign w:val="bottom"/>
            <w:shd w:val="clear" w:color="auto" w:fill="DBDBDB"/>
          </w:tcPr>
          <w:p>
            <w:pPr>
              <w:spacing w:after="0"/>
              <w:rPr>
                <w:sz w:val="21"/>
                <w:szCs w:val="21"/>
                <w:color w:val="auto"/>
              </w:rPr>
            </w:pPr>
          </w:p>
        </w:tc>
        <w:tc>
          <w:tcPr>
            <w:tcW w:w="1200" w:type="dxa"/>
            <w:vAlign w:val="bottom"/>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257,956</w:t>
            </w:r>
          </w:p>
        </w:tc>
      </w:tr>
      <w:tr>
        <w:trPr>
          <w:trHeight w:val="257"/>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Jerri DeVard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4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253,060</w:t>
            </w:r>
          </w:p>
        </w:tc>
      </w:tr>
      <w:tr>
        <w:trPr>
          <w:trHeight w:val="256"/>
        </w:trPr>
        <w:tc>
          <w:tcPr>
            <w:tcW w:w="39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Lawrence Hilsheimer</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157,250</w:t>
            </w:r>
          </w:p>
        </w:tc>
        <w:tc>
          <w:tcPr>
            <w:tcW w:w="440" w:type="dxa"/>
            <w:vAlign w:val="bottom"/>
            <w:shd w:val="clear" w:color="auto" w:fill="DBDBDB"/>
          </w:tcPr>
          <w:p>
            <w:pPr>
              <w:jc w:val="right"/>
              <w:ind w:right="206"/>
              <w:spacing w:after="0"/>
              <w:rPr>
                <w:sz w:val="20"/>
                <w:szCs w:val="20"/>
                <w:color w:val="auto"/>
              </w:rPr>
            </w:pPr>
            <w:r>
              <w:rPr>
                <w:rFonts w:ascii="Times New Roman" w:cs="Times New Roman" w:eastAsia="Times New Roman" w:hAnsi="Times New Roman"/>
                <w:sz w:val="11"/>
                <w:szCs w:val="11"/>
                <w:color w:val="auto"/>
              </w:rPr>
              <w:t>(4)</w:t>
            </w:r>
          </w:p>
        </w:tc>
        <w:tc>
          <w:tcPr>
            <w:tcW w:w="1200" w:type="dxa"/>
            <w:vAlign w:val="bottom"/>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307,185</w:t>
            </w:r>
          </w:p>
        </w:tc>
      </w:tr>
      <w:tr>
        <w:trPr>
          <w:trHeight w:val="257"/>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Nancy Kramer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108,229</w:t>
            </w:r>
          </w:p>
        </w:tc>
        <w:tc>
          <w:tcPr>
            <w:tcW w:w="4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258,164</w:t>
            </w:r>
          </w:p>
        </w:tc>
      </w:tr>
      <w:tr>
        <w:trPr>
          <w:trHeight w:val="257"/>
        </w:trPr>
        <w:tc>
          <w:tcPr>
            <w:tcW w:w="39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Beth Birnbaum</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92,917</w:t>
            </w:r>
          </w:p>
        </w:tc>
        <w:tc>
          <w:tcPr>
            <w:tcW w:w="44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242,852</w:t>
            </w:r>
          </w:p>
        </w:tc>
      </w:tr>
      <w:tr>
        <w:trPr>
          <w:trHeight w:val="257"/>
        </w:trPr>
        <w:tc>
          <w:tcPr>
            <w:tcW w:w="3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Julie Szudarek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123,917</w:t>
            </w:r>
          </w:p>
        </w:tc>
        <w:tc>
          <w:tcPr>
            <w:tcW w:w="4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273,852</w:t>
            </w:r>
          </w:p>
        </w:tc>
      </w:tr>
      <w:tr>
        <w:trPr>
          <w:trHeight w:val="257"/>
        </w:trPr>
        <w:tc>
          <w:tcPr>
            <w:tcW w:w="39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Donna Dorsey</w:t>
            </w:r>
          </w:p>
        </w:tc>
        <w:tc>
          <w:tcPr>
            <w:tcW w:w="1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93,333</w:t>
            </w:r>
          </w:p>
        </w:tc>
        <w:tc>
          <w:tcPr>
            <w:tcW w:w="440" w:type="dxa"/>
            <w:vAlign w:val="bottom"/>
            <w:shd w:val="clear" w:color="auto" w:fill="DBDBDB"/>
          </w:tcPr>
          <w:p>
            <w:pPr>
              <w:spacing w:after="0"/>
              <w:rPr>
                <w:sz w:val="22"/>
                <w:szCs w:val="22"/>
                <w:color w:val="auto"/>
              </w:rPr>
            </w:pPr>
          </w:p>
        </w:tc>
        <w:tc>
          <w:tcPr>
            <w:tcW w:w="1200" w:type="dxa"/>
            <w:vAlign w:val="bottom"/>
            <w:shd w:val="clear" w:color="auto" w:fill="DBDBDB"/>
          </w:tcPr>
          <w:p>
            <w:pPr>
              <w:jc w:val="right"/>
              <w:ind w:right="19"/>
              <w:spacing w:after="0"/>
              <w:rPr>
                <w:sz w:val="20"/>
                <w:szCs w:val="20"/>
                <w:color w:val="auto"/>
              </w:rPr>
            </w:pPr>
            <w:r>
              <w:rPr>
                <w:rFonts w:ascii="Times New Roman" w:cs="Times New Roman" w:eastAsia="Times New Roman" w:hAnsi="Times New Roman"/>
                <w:sz w:val="18"/>
                <w:szCs w:val="18"/>
                <w:color w:val="auto"/>
              </w:rPr>
              <w:t>149,935</w:t>
            </w:r>
          </w:p>
        </w:tc>
        <w:tc>
          <w:tcPr>
            <w:tcW w:w="1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243,268</w:t>
            </w:r>
          </w:p>
        </w:tc>
      </w:tr>
    </w:tbl>
    <w:p>
      <w:pPr>
        <w:spacing w:after="0" w:line="166" w:lineRule="exact"/>
        <w:rPr>
          <w:sz w:val="20"/>
          <w:szCs w:val="20"/>
          <w:color w:val="auto"/>
        </w:rPr>
      </w:pPr>
    </w:p>
    <w:p>
      <w:pPr>
        <w:ind w:left="620" w:hanging="328"/>
        <w:spacing w:after="0"/>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proration for changes to board and committee member retainers in May 2025 and changes to committee service during the year.</w:t>
      </w:r>
    </w:p>
    <w:p>
      <w:pPr>
        <w:spacing w:after="0" w:line="149" w:lineRule="exact"/>
        <w:rPr>
          <w:rFonts w:ascii="Times New Roman" w:cs="Times New Roman" w:eastAsia="Times New Roman" w:hAnsi="Times New Roman"/>
          <w:sz w:val="14"/>
          <w:szCs w:val="14"/>
          <w:color w:val="auto"/>
        </w:rPr>
      </w:pPr>
    </w:p>
    <w:p>
      <w:pPr>
        <w:ind w:left="620" w:right="439" w:hanging="328"/>
        <w:spacing w:after="0" w:line="271" w:lineRule="auto"/>
        <w:tabs>
          <w:tab w:leader="none" w:pos="6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the aggregate grant date fair values of the stock awards granted to our non-employee directors as computed in accordance with the Financial Accounting Standards Board’s (“FASB”) Accounting Standards Codification Topic 718</w:t>
      </w:r>
    </w:p>
    <w:p>
      <w:pPr>
        <w:ind w:left="620" w:right="379"/>
        <w:spacing w:after="0" w:line="261" w:lineRule="auto"/>
        <w:rPr>
          <w:sz w:val="20"/>
          <w:szCs w:val="20"/>
          <w:color w:val="auto"/>
        </w:rPr>
      </w:pPr>
      <w:r>
        <w:rPr>
          <w:rFonts w:ascii="Times New Roman" w:cs="Times New Roman" w:eastAsia="Times New Roman" w:hAnsi="Times New Roman"/>
          <w:sz w:val="14"/>
          <w:szCs w:val="14"/>
          <w:color w:val="auto"/>
        </w:rPr>
        <w:t>(“ASC Topic 718”). See Note 2 to the Consolidated Financial Statements in our Annual Report on Form 10-K for the year ended December 31, 2025, for a discussion of the assumptions made in determining the aggregate grant date fair value of our stock awards. Note that the amounts reported in this column reflect the accounting cost for these awards, and do not reflect the actual economic value that may be realized by the non-employee directors upon the vesting of the awards or the sale of the Class A common stock underlying such awards. These awards were granted to each of our non-employee directors on the date of our 2025 Annual Meeting (June 4, 2025) pursuant to the Director Compensation Policy and consist of grants of 1,119 RSUs generally vesting on the date of our 2026 Annual Meeting.</w:t>
      </w:r>
    </w:p>
    <w:p>
      <w:pPr>
        <w:spacing w:after="0" w:line="111" w:lineRule="exact"/>
        <w:rPr>
          <w:sz w:val="20"/>
          <w:szCs w:val="20"/>
          <w:color w:val="auto"/>
        </w:rPr>
      </w:pPr>
    </w:p>
    <w:p>
      <w:pPr>
        <w:ind w:left="620" w:right="339" w:hanging="328"/>
        <w:spacing w:after="0" w:line="302" w:lineRule="auto"/>
        <w:tabs>
          <w:tab w:leader="none" w:pos="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aggregate number of shares of our Class A common stock or Class B common stock that were subject to the equity awards granted to our non-employee directors that were outstanding as of December 31, 2025:</w:t>
      </w:r>
    </w:p>
    <w:p>
      <w:pPr>
        <w:spacing w:after="0" w:line="79"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342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w:t>
            </w:r>
          </w:p>
        </w:tc>
      </w:tr>
      <w:tr>
        <w:trPr>
          <w:trHeight w:val="175"/>
        </w:trPr>
        <w:tc>
          <w:tcPr>
            <w:tcW w:w="3740" w:type="dxa"/>
            <w:vAlign w:val="bottom"/>
          </w:tcPr>
          <w:p>
            <w:pPr>
              <w:spacing w:after="0"/>
              <w:rPr>
                <w:sz w:val="15"/>
                <w:szCs w:val="15"/>
                <w:color w:val="auto"/>
              </w:rPr>
            </w:pPr>
          </w:p>
        </w:tc>
        <w:tc>
          <w:tcPr>
            <w:tcW w:w="342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w:t>
            </w:r>
          </w:p>
        </w:tc>
      </w:tr>
      <w:tr>
        <w:trPr>
          <w:trHeight w:val="175"/>
        </w:trPr>
        <w:tc>
          <w:tcPr>
            <w:tcW w:w="3740" w:type="dxa"/>
            <w:vAlign w:val="bottom"/>
          </w:tcPr>
          <w:p>
            <w:pPr>
              <w:spacing w:after="0"/>
              <w:rPr>
                <w:sz w:val="15"/>
                <w:szCs w:val="15"/>
                <w:color w:val="auto"/>
              </w:rPr>
            </w:pPr>
          </w:p>
        </w:tc>
        <w:tc>
          <w:tcPr>
            <w:tcW w:w="342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r>
      <w:tr>
        <w:trPr>
          <w:trHeight w:val="167"/>
        </w:trPr>
        <w:tc>
          <w:tcPr>
            <w:tcW w:w="3740" w:type="dxa"/>
            <w:vAlign w:val="bottom"/>
            <w:tcBorders>
              <w:bottom w:val="single" w:sz="8" w:color="FF5715"/>
            </w:tcBorders>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Name</w:t>
            </w:r>
          </w:p>
        </w:tc>
        <w:tc>
          <w:tcPr>
            <w:tcW w:w="3420" w:type="dxa"/>
            <w:vAlign w:val="bottom"/>
            <w:tcBorders>
              <w:bottom w:val="single" w:sz="8" w:color="FF5715"/>
            </w:tcBorders>
          </w:tcPr>
          <w:p>
            <w:pPr>
              <w:jc w:val="center"/>
              <w:ind w:left="196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FF5715"/>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r>
      <w:tr>
        <w:trPr>
          <w:trHeight w:val="216"/>
        </w:trPr>
        <w:tc>
          <w:tcPr>
            <w:tcW w:w="37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6"/>
                <w:szCs w:val="16"/>
                <w:color w:val="auto"/>
              </w:rPr>
              <w:t>Douglas Ulman</w:t>
            </w:r>
          </w:p>
        </w:tc>
        <w:tc>
          <w:tcPr>
            <w:tcW w:w="3420" w:type="dxa"/>
            <w:vAlign w:val="bottom"/>
            <w:shd w:val="clear" w:color="auto" w:fill="DBDBDB"/>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33,352</w:t>
            </w:r>
          </w:p>
        </w:tc>
      </w:tr>
      <w:tr>
        <w:trPr>
          <w:trHeight w:val="229"/>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Jerri DeVard</w:t>
            </w:r>
          </w:p>
        </w:tc>
        <w:tc>
          <w:tcPr>
            <w:tcW w:w="3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7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6"/>
                <w:szCs w:val="16"/>
                <w:color w:val="auto"/>
              </w:rPr>
              <w:t>Lawrence Hilsheimer</w:t>
            </w:r>
          </w:p>
        </w:tc>
        <w:tc>
          <w:tcPr>
            <w:tcW w:w="3420" w:type="dxa"/>
            <w:vAlign w:val="bottom"/>
            <w:shd w:val="clear" w:color="auto" w:fill="DBDBDB"/>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Nancy Kramer</w:t>
            </w:r>
          </w:p>
        </w:tc>
        <w:tc>
          <w:tcPr>
            <w:tcW w:w="3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r>
      <w:tr>
        <w:trPr>
          <w:trHeight w:val="230"/>
        </w:trPr>
        <w:tc>
          <w:tcPr>
            <w:tcW w:w="37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6"/>
                <w:szCs w:val="16"/>
                <w:color w:val="auto"/>
              </w:rPr>
              <w:t>Beth Birnbaum</w:t>
            </w:r>
          </w:p>
        </w:tc>
        <w:tc>
          <w:tcPr>
            <w:tcW w:w="3420" w:type="dxa"/>
            <w:vAlign w:val="bottom"/>
            <w:shd w:val="clear" w:color="auto" w:fill="DBDBDB"/>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Julie Szudarek</w:t>
            </w:r>
          </w:p>
        </w:tc>
        <w:tc>
          <w:tcPr>
            <w:tcW w:w="34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7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6"/>
                <w:szCs w:val="16"/>
                <w:color w:val="auto"/>
              </w:rPr>
              <w:t>Donna Dorsey</w:t>
            </w:r>
          </w:p>
        </w:tc>
        <w:tc>
          <w:tcPr>
            <w:tcW w:w="3420" w:type="dxa"/>
            <w:vAlign w:val="bottom"/>
            <w:shd w:val="clear" w:color="auto" w:fill="DBDBDB"/>
          </w:tcPr>
          <w:p>
            <w:pPr>
              <w:jc w:val="right"/>
              <w:ind w:right="62"/>
              <w:spacing w:after="0"/>
              <w:rPr>
                <w:sz w:val="20"/>
                <w:szCs w:val="20"/>
                <w:color w:val="auto"/>
              </w:rPr>
            </w:pPr>
            <w:r>
              <w:rPr>
                <w:rFonts w:ascii="Times New Roman" w:cs="Times New Roman" w:eastAsia="Times New Roman" w:hAnsi="Times New Roman"/>
                <w:sz w:val="16"/>
                <w:szCs w:val="16"/>
                <w:color w:val="auto"/>
              </w:rPr>
              <w:t>1,119</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66" w:lineRule="exact"/>
        <w:rPr>
          <w:sz w:val="20"/>
          <w:szCs w:val="20"/>
          <w:color w:val="auto"/>
        </w:rPr>
      </w:pPr>
    </w:p>
    <w:p>
      <w:pPr>
        <w:ind w:left="620" w:hanging="328"/>
        <w:spacing w:after="0"/>
        <w:tabs>
          <w:tab w:leader="none" w:pos="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earned or paid in cash includes $26,000 retainer for service on the boards of directors of our subsidiary insurance companies.</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1215" w:right="1440" w:bottom="1440" w:gutter="0" w:footer="0" w:header="0"/>
          <w:type w:val="continuous"/>
        </w:sectPr>
      </w:pPr>
    </w:p>
    <w:bookmarkStart w:id="32" w:name="page33"/>
    <w:bookmarkEnd w:id="32"/>
    <w:p>
      <w:pPr>
        <w:ind w:left="940" w:right="959" w:firstLine="235"/>
        <w:spacing w:after="0" w:line="298" w:lineRule="auto"/>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2 - RATIFICATION OF OUR SELECTION OF INDEPENDENT REGISTERED PUBLIC ACCOUNTING FIRM</w:t>
      </w:r>
    </w:p>
    <w:p>
      <w:pPr>
        <w:spacing w:after="0" w:line="134"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audit, risk and finance committee of our board of directors has selected Deloitte &amp; Touche LLP as our independent registered public accounting firm for the fiscal year ending December 31, 2026, and has further directed that management submit the selection of its independent registered public accounting firm for ratification by the stockholders at the Annual Meeting. Deloitte &amp; Touche LLP has audited our financial statements since 2017. Representatives of Deloitte &amp; Touche LLP are expected to be present at the Annual Meeting. They will have an opportunity to make a statement if they so desire and will be available to respond to appropriate questions.</w:t>
      </w:r>
    </w:p>
    <w:p>
      <w:pPr>
        <w:spacing w:after="0" w:line="187"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Neither our Amended and Restated Bylaws nor other governing documents or law require stockholder ratification of the selection of Deloitte &amp; Touche LLP as our independent registered public accounting firm. However, the audit, risk and finance committee is submitting the selection of Deloitte &amp; Touche LLP to the stockholders for ratification as a matter of good corporate practice. If the stockholders fail to ratify the selection, the audit, risk and finance committee will reconsider whether or not to retain that firm. Even if the selection is ratified, the audit, risk and finance committee in its discretion may direct the appointment of different independent auditors at any time during the year if they determine that such a change would be in the best interests of Root and our stockholders.</w:t>
      </w:r>
    </w:p>
    <w:p>
      <w:pPr>
        <w:spacing w:after="0" w:line="189"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by virtual attendance or represented by proxy and entitled to vote on the matter at the Annual Meeting will be required to ratify the selection of Deloitte &amp; Touche LLP.</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by Deloitte &amp; Touche LLP for the periods set forth below.</w:t>
      </w:r>
    </w:p>
    <w:p>
      <w:pPr>
        <w:spacing w:after="0" w:line="30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40" w:type="dxa"/>
            <w:vAlign w:val="bottom"/>
            <w:tcBorders>
              <w:bottom w:val="single" w:sz="8" w:color="auto"/>
            </w:tcBorders>
          </w:tcPr>
          <w:p>
            <w:pPr>
              <w:spacing w:after="0"/>
              <w:rPr>
                <w:sz w:val="15"/>
                <w:szCs w:val="15"/>
                <w:color w:val="auto"/>
              </w:rPr>
            </w:pPr>
          </w:p>
        </w:tc>
      </w:tr>
      <w:tr>
        <w:trPr>
          <w:trHeight w:val="189"/>
        </w:trPr>
        <w:tc>
          <w:tcPr>
            <w:tcW w:w="5640" w:type="dxa"/>
            <w:vAlign w:val="bottom"/>
            <w:tcBorders>
              <w:bottom w:val="single" w:sz="8" w:color="FF5715"/>
            </w:tcBorders>
          </w:tcPr>
          <w:p>
            <w:pPr>
              <w:spacing w:after="0"/>
              <w:rPr>
                <w:sz w:val="16"/>
                <w:szCs w:val="16"/>
                <w:color w:val="auto"/>
              </w:rPr>
            </w:pPr>
          </w:p>
        </w:tc>
        <w:tc>
          <w:tcPr>
            <w:tcW w:w="340" w:type="dxa"/>
            <w:vAlign w:val="bottom"/>
            <w:tcBorders>
              <w:bottom w:val="single" w:sz="8" w:color="FF5715"/>
            </w:tcBorders>
          </w:tcPr>
          <w:p>
            <w:pPr>
              <w:spacing w:after="0"/>
              <w:rPr>
                <w:sz w:val="16"/>
                <w:szCs w:val="16"/>
                <w:color w:val="auto"/>
              </w:rPr>
            </w:pPr>
          </w:p>
        </w:tc>
        <w:tc>
          <w:tcPr>
            <w:tcW w:w="1020" w:type="dxa"/>
            <w:vAlign w:val="bottom"/>
            <w:tcBorders>
              <w:bottom w:val="single" w:sz="8" w:color="FF5715"/>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FF5715"/>
            </w:tcBorders>
          </w:tcPr>
          <w:p>
            <w:pPr>
              <w:spacing w:after="0"/>
              <w:rPr>
                <w:sz w:val="16"/>
                <w:szCs w:val="16"/>
                <w:color w:val="auto"/>
              </w:rPr>
            </w:pPr>
          </w:p>
        </w:tc>
        <w:tc>
          <w:tcPr>
            <w:tcW w:w="520" w:type="dxa"/>
            <w:vAlign w:val="bottom"/>
            <w:tcBorders>
              <w:bottom w:val="single" w:sz="8" w:color="FF5715"/>
            </w:tcBorders>
          </w:tcPr>
          <w:p>
            <w:pPr>
              <w:spacing w:after="0"/>
              <w:rPr>
                <w:sz w:val="16"/>
                <w:szCs w:val="16"/>
                <w:color w:val="auto"/>
              </w:rPr>
            </w:pPr>
          </w:p>
        </w:tc>
        <w:tc>
          <w:tcPr>
            <w:tcW w:w="840" w:type="dxa"/>
            <w:vAlign w:val="bottom"/>
            <w:tcBorders>
              <w:bottom w:val="single" w:sz="8" w:color="FF5715"/>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43"/>
        </w:trPr>
        <w:tc>
          <w:tcPr>
            <w:tcW w:w="5640" w:type="dxa"/>
            <w:vAlign w:val="bottom"/>
            <w:shd w:val="clear" w:color="auto" w:fill="DBDBDB"/>
          </w:tcPr>
          <w:p>
            <w:pPr>
              <w:ind w:left="60"/>
              <w:spacing w:after="0" w:line="24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1,637,000</w:t>
            </w:r>
          </w:p>
        </w:tc>
        <w:tc>
          <w:tcPr>
            <w:tcW w:w="6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1,147,346</w:t>
            </w:r>
          </w:p>
        </w:tc>
      </w:tr>
      <w:tr>
        <w:trPr>
          <w:trHeight w:val="257"/>
        </w:trPr>
        <w:tc>
          <w:tcPr>
            <w:tcW w:w="564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57"/>
        </w:trPr>
        <w:tc>
          <w:tcPr>
            <w:tcW w:w="56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shd w:val="clear" w:color="auto" w:fill="DBDBDB"/>
          </w:tcPr>
          <w:p>
            <w:pPr>
              <w:spacing w:after="0"/>
              <w:rPr>
                <w:sz w:val="22"/>
                <w:szCs w:val="22"/>
                <w:color w:val="auto"/>
              </w:rPr>
            </w:pPr>
          </w:p>
        </w:tc>
        <w:tc>
          <w:tcPr>
            <w:tcW w:w="108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BDBDB"/>
          </w:tcPr>
          <w:p>
            <w:pPr>
              <w:spacing w:after="0"/>
              <w:rPr>
                <w:sz w:val="22"/>
                <w:szCs w:val="22"/>
                <w:color w:val="auto"/>
              </w:rPr>
            </w:pP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640" w:type="dxa"/>
            <w:vAlign w:val="bottom"/>
            <w:tcBorders>
              <w:bottom w:val="single" w:sz="8" w:color="DBDBDB"/>
            </w:tcBorders>
          </w:tcPr>
          <w:p>
            <w:pPr>
              <w:ind w:left="60"/>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103,460</w:t>
            </w:r>
          </w:p>
        </w:tc>
        <w:tc>
          <w:tcPr>
            <w:tcW w:w="60" w:type="dxa"/>
            <w:vAlign w:val="bottom"/>
            <w:tcBorders>
              <w:bottom w:val="single" w:sz="8" w:color="DBDBDB"/>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r>
      <w:tr>
        <w:trPr>
          <w:trHeight w:val="237"/>
        </w:trPr>
        <w:tc>
          <w:tcPr>
            <w:tcW w:w="56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bottom w:val="single" w:sz="8" w:color="auto"/>
            </w:tcBorders>
            <w:shd w:val="clear" w:color="auto" w:fill="DBDBDB"/>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1,740,460</w:t>
            </w:r>
          </w:p>
        </w:tc>
        <w:tc>
          <w:tcPr>
            <w:tcW w:w="6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1,166,420</w:t>
            </w:r>
          </w:p>
        </w:tc>
      </w:tr>
    </w:tbl>
    <w:p>
      <w:pPr>
        <w:spacing w:after="0" w:line="153" w:lineRule="exact"/>
        <w:rPr>
          <w:sz w:val="20"/>
          <w:szCs w:val="20"/>
          <w:color w:val="auto"/>
        </w:rPr>
      </w:pPr>
    </w:p>
    <w:p>
      <w:pPr>
        <w:ind w:left="620" w:right="319" w:hanging="328"/>
        <w:spacing w:after="0" w:line="281" w:lineRule="auto"/>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professional services provided in connection with the audit of our annual consolidated financial statements, the review of our quarterly consolidated financial statements and audit services that are normally provided by an independent registered public accounting firm in connection with statutory and regulatory filings or engagements for those fiscal years.</w:t>
      </w:r>
    </w:p>
    <w:p>
      <w:pPr>
        <w:spacing w:after="0" w:line="96" w:lineRule="exact"/>
        <w:rPr>
          <w:rFonts w:ascii="Times New Roman" w:cs="Times New Roman" w:eastAsia="Times New Roman" w:hAnsi="Times New Roman"/>
          <w:sz w:val="14"/>
          <w:szCs w:val="14"/>
          <w:color w:val="auto"/>
        </w:rPr>
      </w:pPr>
    </w:p>
    <w:p>
      <w:pPr>
        <w:ind w:left="620" w:right="419" w:hanging="328"/>
        <w:spacing w:after="0" w:line="302" w:lineRule="auto"/>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for professional services that are reasonably related to performance of the audit or review of our financial statements.</w:t>
      </w:r>
    </w:p>
    <w:p>
      <w:pPr>
        <w:spacing w:after="0" w:line="80"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 of market research services and software license fees.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risk and finance committee.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audit, risk and finance committee approves all audit and non-audit related services that our independent registered public accounting firm provides to us before the engagement begins. Pre-approval may be given as part of our audit, risk and finance committee’s approval of the scope of the engagement of the independent registered public accounting firm or on an individual, explicit, case-by-case basis before the independent registered public accounting firm is engaged to provide each service.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5"/>
          <w:szCs w:val="25"/>
          <w:b w:val="1"/>
          <w:bCs w:val="1"/>
          <w:color w:val="FF5715"/>
        </w:rPr>
        <w:t>OUR BOARD OF DIRECTORS RECOMMENDS A VOTE “FOR” THE</w: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5"/>
          <w:szCs w:val="25"/>
          <w:b w:val="1"/>
          <w:bCs w:val="1"/>
          <w:color w:val="FF5715"/>
        </w:rPr>
        <w:t>RATIFICATION OF THE SELECTION OF DELOITTE &amp; TOUCHE LLP</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5"/>
          <w:szCs w:val="25"/>
          <w:b w:val="1"/>
          <w:bCs w:val="1"/>
          <w:color w:val="FF5715"/>
        </w:rPr>
        <w:t>AS OUR INDEPENDENT REGISTERED PUBLIC ACCOUNTING FIRM.</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019"/>
          </w:cols>
          <w:pgMar w:left="1440" w:top="1204" w:right="1440"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OFFICERS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for our executive officers, their ages and position held with us as of the date of this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Proxy Statement:</w:t>
      </w:r>
    </w:p>
    <w:p>
      <w:pPr>
        <w:spacing w:after="0" w:line="268"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2160" w:type="dxa"/>
            <w:vAlign w:val="bottom"/>
            <w:tcBorders>
              <w:bottom w:val="single" w:sz="8" w:color="FF5715"/>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340" w:type="dxa"/>
            <w:vAlign w:val="bottom"/>
            <w:tcBorders>
              <w:bottom w:val="single" w:sz="8" w:color="FF5715"/>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Principal Position</w:t>
            </w:r>
          </w:p>
        </w:tc>
      </w:tr>
      <w:tr>
        <w:trPr>
          <w:trHeight w:val="243"/>
        </w:trPr>
        <w:tc>
          <w:tcPr>
            <w:tcW w:w="216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Alexander Timm</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53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Co-Founder, CEO and Director</w:t>
            </w:r>
          </w:p>
        </w:tc>
      </w:tr>
      <w:tr>
        <w:trPr>
          <w:trHeight w:val="250"/>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Megan Binkley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3"/>
        </w:trPr>
        <w:tc>
          <w:tcPr>
            <w:tcW w:w="216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Mahtiyar Bonakdarpour</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534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President and Chief Technology Officer</w:t>
            </w:r>
          </w:p>
        </w:tc>
      </w:tr>
      <w:tr>
        <w:trPr>
          <w:trHeight w:val="243"/>
        </w:trPr>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Jonathan Allison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5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Administrative Officer</w:t>
            </w:r>
          </w:p>
        </w:tc>
      </w:tr>
    </w:tbl>
    <w:p>
      <w:pPr>
        <w:spacing w:after="0" w:line="184"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Biographical information for Alexander Timm is included above with the director biographies under the caption “</w:t>
      </w:r>
      <w:r>
        <w:rPr>
          <w:rFonts w:ascii="Times New Roman" w:cs="Times New Roman" w:eastAsia="Times New Roman" w:hAnsi="Times New Roman"/>
          <w:sz w:val="18"/>
          <w:szCs w:val="18"/>
          <w:i w:val="1"/>
          <w:iCs w:val="1"/>
          <w:color w:val="auto"/>
        </w:rPr>
        <w:t>Information Regarding Director Nominees and Current Directors</w:t>
      </w:r>
      <w:r>
        <w:rPr>
          <w:rFonts w:ascii="Times New Roman" w:cs="Times New Roman" w:eastAsia="Times New Roman" w:hAnsi="Times New Roman"/>
          <w:sz w:val="18"/>
          <w:szCs w:val="18"/>
          <w:color w:val="auto"/>
        </w:rPr>
        <w:t xml:space="preserve"> .”</w:t>
      </w:r>
    </w:p>
    <w:p>
      <w:pPr>
        <w:spacing w:after="0" w:line="160" w:lineRule="exact"/>
        <w:rPr>
          <w:sz w:val="20"/>
          <w:szCs w:val="20"/>
          <w:color w:val="auto"/>
        </w:rPr>
      </w:pPr>
    </w:p>
    <w:p>
      <w:pPr>
        <w:ind w:left="300" w:right="33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Megan Binkley </w:t>
      </w:r>
      <w:r>
        <w:rPr>
          <w:rFonts w:ascii="Times New Roman" w:cs="Times New Roman" w:eastAsia="Times New Roman" w:hAnsi="Times New Roman"/>
          <w:sz w:val="17"/>
          <w:szCs w:val="17"/>
          <w:color w:val="auto"/>
        </w:rPr>
        <w:t>. Ms. Binkley has served as our Chief Financial Officer since March 2023. Prior to that, she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Deputy Chief Financial Officer from November 2022 to March 2023 and Chief Accounting Officer from April 2019 to November 2022. Prior to joining the Company, Ms. Binkley held roles of increasing responsibility at KPMG LLP, a public accounting firm, from September 2007 until March 2019, at which time she was a senior manager.</w:t>
      </w:r>
    </w:p>
    <w:p>
      <w:pPr>
        <w:spacing w:after="0" w:line="16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Mahtiyar Bonakdarpour. </w:t>
      </w:r>
      <w:r>
        <w:rPr>
          <w:rFonts w:ascii="Times New Roman" w:cs="Times New Roman" w:eastAsia="Times New Roman" w:hAnsi="Times New Roman"/>
          <w:sz w:val="18"/>
          <w:szCs w:val="18"/>
          <w:color w:val="auto"/>
        </w:rPr>
        <w:t>Mr. Bonakdarpour has served as our President since February 2024 and Chief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since February 2022. Prior to that, he was our Chief Data Science and Analytics Officer beginning in July 2021, and our Vice President of Data Science beginning in July 2018. Mr. Bonakdarpour was a visiting scholar at Yale University from September 2017 until March 2019 and a research assistant at the University of Chicago from September 2014 until March 2019.</w:t>
      </w:r>
    </w:p>
    <w:p>
      <w:pPr>
        <w:spacing w:after="0" w:line="183"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Jonathan Allison. </w:t>
      </w:r>
      <w:r>
        <w:rPr>
          <w:rFonts w:ascii="Times New Roman" w:cs="Times New Roman" w:eastAsia="Times New Roman" w:hAnsi="Times New Roman"/>
          <w:sz w:val="18"/>
          <w:szCs w:val="18"/>
          <w:color w:val="auto"/>
        </w:rPr>
        <w:t>Mr. Allison has served as our Chief Administrative Officer since May 2023. Prior to that,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General Counsel from November 2017 to June 2023. Prior to joining the Company, Mr. Allison was an Executive Vice President at CareSource, a managed care plan, from May 2015 to June 2017 and a partner at Carpenter Lipps, LLP, a law firm, from December 2010 to May 2015.</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019"/>
          </w:cols>
          <w:pgMar w:left="1440" w:top="1204" w:right="1440" w:bottom="1440" w:gutter="0" w:footer="0" w:header="0"/>
          <w:type w:val="continuous"/>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COMPENSATION DISCUSSION AND ANALYSIS</w:t>
      </w:r>
    </w:p>
    <w:p>
      <w:pPr>
        <w:spacing w:after="0" w:line="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Overview</w:t>
      </w:r>
    </w:p>
    <w:p>
      <w:pPr>
        <w:spacing w:after="0" w:line="220"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Root is a technology insurance company founded on the idea that car insurance rates should be based primarily on driving behaviors, not demographics. We are revolutionizing the archaic car insurance industry by using modern technology, data science, and telematics to offer fair, personalized rates to good drivers. We primarily reach customers through two channels: our direct channel, where we target consumers with what we believe to be a great insurance product at a great price, and through our partnership channel, where we meet consumers at contextually relevant times, such as during the car purchasing experience or through independent insurance agents . Our primary focus is the U.S. auto insurance market, and we have built a company that recognizes each individual has unique behaviors and that customers should be in control and rewarded for their actions.</w:t>
      </w:r>
    </w:p>
    <w:p>
      <w:pPr>
        <w:spacing w:after="0" w:line="192"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and analysis of our compensation programs with respect to the following current executive officers, who we refer to throughout as our “named executive officers” or “NEOs.”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2025 Named Executive Officers</w:t>
      </w:r>
    </w:p>
    <w:p>
      <w:pPr>
        <w:spacing w:after="0" w:line="4" w:lineRule="exact"/>
        <w:rPr>
          <w:sz w:val="20"/>
          <w:szCs w:val="20"/>
          <w:color w:val="auto"/>
        </w:rPr>
      </w:pPr>
    </w:p>
    <w:tbl>
      <w:tblPr>
        <w:tblLayout w:type="fixed"/>
        <w:tblInd w:w="1660" w:type="dxa"/>
        <w:tblCellMar>
          <w:top w:w="0" w:type="dxa"/>
          <w:left w:w="0" w:type="dxa"/>
          <w:bottom w:w="0" w:type="dxa"/>
          <w:right w:w="0" w:type="dxa"/>
        </w:tblCellMar>
      </w:tblPr>
      <w:tr>
        <w:trPr>
          <w:trHeight w:val="205"/>
        </w:trPr>
        <w:tc>
          <w:tcPr>
            <w:tcW w:w="2240" w:type="dxa"/>
            <w:vAlign w:val="bottom"/>
            <w:tcBorders>
              <w:top w:val="single" w:sz="8" w:color="FF5715"/>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Alexander Timm</w:t>
            </w:r>
          </w:p>
        </w:tc>
        <w:tc>
          <w:tcPr>
            <w:tcW w:w="3460" w:type="dxa"/>
            <w:vAlign w:val="bottom"/>
            <w:tcBorders>
              <w:top w:val="single" w:sz="8" w:color="FF5715"/>
            </w:tcBorders>
          </w:tcPr>
          <w:p>
            <w:pPr>
              <w:ind w:left="320"/>
              <w:spacing w:after="0" w:line="205" w:lineRule="exact"/>
              <w:rPr>
                <w:sz w:val="20"/>
                <w:szCs w:val="20"/>
                <w:color w:val="auto"/>
              </w:rPr>
            </w:pPr>
            <w:r>
              <w:rPr>
                <w:rFonts w:ascii="Times New Roman" w:cs="Times New Roman" w:eastAsia="Times New Roman" w:hAnsi="Times New Roman"/>
                <w:sz w:val="18"/>
                <w:szCs w:val="18"/>
                <w:b w:val="1"/>
                <w:bCs w:val="1"/>
                <w:color w:val="auto"/>
              </w:rPr>
              <w:t>Mahtiyar Bonakdarpour</w:t>
            </w:r>
          </w:p>
        </w:tc>
      </w:tr>
      <w:tr>
        <w:trPr>
          <w:trHeight w:val="198"/>
        </w:trPr>
        <w:tc>
          <w:tcPr>
            <w:tcW w:w="224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Co-Founder and CEO</w:t>
            </w:r>
          </w:p>
        </w:tc>
        <w:tc>
          <w:tcPr>
            <w:tcW w:w="3460" w:type="dxa"/>
            <w:vAlign w:val="bottom"/>
          </w:tcPr>
          <w:p>
            <w:pPr>
              <w:ind w:left="480"/>
              <w:spacing w:after="0" w:line="199" w:lineRule="exact"/>
              <w:rPr>
                <w:sz w:val="20"/>
                <w:szCs w:val="20"/>
                <w:color w:val="auto"/>
              </w:rPr>
            </w:pPr>
            <w:r>
              <w:rPr>
                <w:rFonts w:ascii="Times New Roman" w:cs="Times New Roman" w:eastAsia="Times New Roman" w:hAnsi="Times New Roman"/>
                <w:sz w:val="18"/>
                <w:szCs w:val="18"/>
                <w:color w:val="auto"/>
              </w:rPr>
              <w:t>President and Chief Technology Officer</w:t>
            </w:r>
          </w:p>
        </w:tc>
      </w:tr>
      <w:tr>
        <w:trPr>
          <w:trHeight w:val="207"/>
        </w:trPr>
        <w:tc>
          <w:tcPr>
            <w:tcW w:w="2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Megan Binkley</w:t>
            </w: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Jonathan Allison</w:t>
            </w:r>
          </w:p>
        </w:tc>
      </w:tr>
      <w:tr>
        <w:trPr>
          <w:trHeight w:val="234"/>
        </w:trPr>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Chief Administrative Officer</w:t>
            </w:r>
          </w:p>
        </w:tc>
      </w:tr>
    </w:tbl>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2025 Program Highlights</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F5715"/>
        </w:rPr>
        <w:t>Named executive officer long-term incentives granted solely in the form of Performance Share Units</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Reinforces pay-for-performance philosophy</w:t>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F5715"/>
        </w:rPr>
        <w:t>New Performance Share Unit design with a cumulative three-year performance period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Focuses on long-term profitable growth</w:t>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F5715"/>
        </w:rPr>
        <w:t>Adoption of stock ownership guidelines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Helps align executive officer and non-employee director interests with those of stockholders</w:t>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F5715"/>
        </w:rPr>
        <w:t>Four consecutive “Say-on-Pay” voting results above 90%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We continue to assess the executive compensation program to address stockholder concerns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Company Performance</w:t>
      </w:r>
    </w:p>
    <w:p>
      <w:pPr>
        <w:spacing w:after="0" w:line="229"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color w:val="auto"/>
        </w:rPr>
        <w:t>In 2025, we continued to build on the momentum from the prior year by achieving our second consecutive year of profitability, while growing gross written premiums by 16% when compared to 2024. Our partnership channel continued to be an important source of growth for the Company and by the fourth quarter represented 45% of all</w:t>
      </w:r>
    </w:p>
    <w:p>
      <w:pPr>
        <w:spacing w:after="0" w:line="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new writings. The partnership channel in combination with our direct-to-consumer channel led to an overall policies in force increase of 16% when compared to 2024. Our 2025 gross accident period loss ratio of 59.3% continued to be one of the industry’s best.</w:t>
      </w:r>
    </w:p>
    <w:p>
      <w:pPr>
        <w:sectPr>
          <w:pgSz w:w="11900" w:h="16838" w:orient="portrait"/>
          <w:cols w:equalWidth="0" w:num="1">
            <w:col w:w="9019"/>
          </w:cols>
          <w:pgMar w:left="1440" w:top="14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1420" w:right="1440" w:bottom="1440" w:gutter="0" w:footer="0" w:header="0"/>
          <w:type w:val="continuous"/>
        </w:sectPr>
      </w:pPr>
    </w:p>
    <w:bookmarkStart w:id="35" w:name="page36"/>
    <w:bookmarkEnd w:id="35"/>
    <w:p>
      <w:pPr>
        <w:ind w:left="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Key Executive Compensation Results</w:t>
      </w:r>
    </w:p>
    <w:p>
      <w:pPr>
        <w:spacing w:after="0" w:line="2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Our annual incentive compensation program was directly linked to the continued profitable growth of the Company by balancing the key metrics of New Writings and Adjusted EBITDA. The compensation committee’s assessment of 2025 performance resulted in funding of 150% of target. Equity awards granted in 2025 were delivered in the form of Performance Share Units (“PSUs”) designed to align a significant part of the named executive officers’ total compensation with the Company’s financial performance. The PSUs can be earned upon the achievement of predetermined Policies In Force and Gross Accident Period Loss Ratio goals (as defined below), with the potential to earn 200% of target units over the full three-year performance period, which is divided into three overlapping sub-performance periods of one, two, and three years. Earning opportunities are backloaded to the most heavily weighted three-year performance period. The one-year sub-performance period was completed at the end of 2025, which resulted in vesting of 20% of the target shares awarded.</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w:t>
      </w:r>
    </w:p>
    <w:p>
      <w:pPr>
        <w:spacing w:after="0" w:line="2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reflects our overall corporate mission to provide fair, personal, and simpler programs with a goal to recruit and retain those with the ability to accomplish Root’s revolutionary work. We annually review the compensation of our executive leadership, including our named executive officers, to help ensure it is market-competitive and aligned with stockholders’ interests. We also review our executive compensation program against Root’s financial and strategic initiatives to provide incentives that help position Root to build a world class insurance company.</w:t>
      </w:r>
    </w:p>
    <w:p>
      <w:pPr>
        <w:spacing w:after="0" w:line="187"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Our program emphasizes a pay-for-performance approach to compensation by tying a majority of our named executive officers’ compensation to Root’s financial performance via short- and long-term incentives. Long-term incentives represent the largest portion of named executive officers’ target compensation and in 2025 were granted solely in the form of PSUs that can be earned upon achievement of predetermined financial metrics and reward long-term profitable growth. The focus on performance-based equity and the overall pay-for-performance approach helps align the named executive officers’ pay outcomes directly with stockholder interests. Any appreciation or depreciation in share price will also have a direct impact to the named executive officers’ equity incentives, with realizable values experiencing the same appreciation or depreciation.</w:t>
      </w:r>
    </w:p>
    <w:p>
      <w:pPr>
        <w:spacing w:after="0" w:line="192"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pay-for-performance correlation is illustrated in the exhibit below, which displays our CEO’s target compensation and estimated realizable compensation for years 2021 through 20 25 in comparison to Annual Total Stockholder Return. With a majority of our CEO’s total compensation tied to long-term incentives, compensation is closely tied to share price performance.</w:t>
      </w: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1224" w:right="1440" w:bottom="1440" w:gutter="0" w:footer="0" w:header="0"/>
          <w:type w:val="continuous"/>
        </w:sectPr>
      </w:pPr>
    </w:p>
    <w:bookmarkStart w:id="36" w:name="page37"/>
    <w:bookmarkEnd w:id="36"/>
    <w:p>
      <w:pPr>
        <w:ind w:left="300" w:right="7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Target CEO compensation is the sum of base salary, target annual incentive, and grant date fair value of equity awards as disclosed in the Grants of Plan-Based Awards table in the applicable year.</w:t>
      </w:r>
    </w:p>
    <w:p>
      <w:pPr>
        <w:spacing w:after="0" w:line="54"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Estimated realizable CEO compensation is the sum of base salary, non-equity incentive plan compensation paid for the applicable year’s performance, the value of time-based equity granted that year as of the applicable vesting date or December 31, 2025, if outstanding, and the value of performance-based equity granted that year as of the applicable vesting date or based on estimated performance through December 31, 2025, if outstanding.</w:t>
      </w:r>
    </w:p>
    <w:p>
      <w:pPr>
        <w:spacing w:after="0" w:line="72"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Annual Total Stockholder Return reflects the share price change between the beginning and end of the applicable year.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2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the design and structure of our executive compensation program on at least an annual basis to help ensure consistency with our short-term and long-term business goals. Root seeks to achieve program consistency using governance and compensation-related policies and practices, including the following:</w:t>
      </w:r>
    </w:p>
    <w:p>
      <w:pPr>
        <w:spacing w:after="0" w:line="275" w:lineRule="exact"/>
        <w:rPr>
          <w:sz w:val="20"/>
          <w:szCs w:val="20"/>
          <w:color w:val="auto"/>
        </w:rPr>
      </w:pPr>
    </w:p>
    <w:p>
      <w:pPr>
        <w:ind w:left="1860"/>
        <w:spacing w:after="0"/>
        <w:tabs>
          <w:tab w:leader="none" w:pos="5780" w:val="left"/>
        </w:tabs>
        <w:rPr>
          <w:sz w:val="20"/>
          <w:szCs w:val="20"/>
          <w:color w:val="auto"/>
        </w:rPr>
      </w:pPr>
      <w:r>
        <w:rPr>
          <w:rFonts w:ascii="Times New Roman" w:cs="Times New Roman" w:eastAsia="Times New Roman" w:hAnsi="Times New Roman"/>
          <w:sz w:val="20"/>
          <w:szCs w:val="20"/>
          <w:b w:val="1"/>
          <w:bCs w:val="1"/>
          <w:color w:val="auto"/>
        </w:rPr>
        <w:t>What We Do</w:t>
      </w:r>
      <w:r>
        <w:rPr>
          <w:sz w:val="20"/>
          <w:szCs w:val="20"/>
          <w:color w:val="auto"/>
        </w:rPr>
        <w:tab/>
      </w:r>
      <w:r>
        <w:rPr>
          <w:rFonts w:ascii="Times New Roman" w:cs="Times New Roman" w:eastAsia="Times New Roman" w:hAnsi="Times New Roman"/>
          <w:sz w:val="19"/>
          <w:szCs w:val="19"/>
          <w:b w:val="1"/>
          <w:bCs w:val="1"/>
          <w:color w:val="auto"/>
        </w:rPr>
        <w:t>What We Don’t Do</w:t>
      </w:r>
    </w:p>
    <w:p>
      <w:pPr>
        <w:sectPr>
          <w:pgSz w:w="11900" w:h="16838" w:orient="portrait"/>
          <w:cols w:equalWidth="0" w:num="1">
            <w:col w:w="9019"/>
          </w:cols>
          <w:pgMar w:left="1440" w:top="1228" w:right="1440" w:bottom="1440" w:gutter="0" w:footer="0" w:header="0"/>
        </w:sectPr>
      </w:pPr>
    </w:p>
    <w:p>
      <w:pPr>
        <w:spacing w:after="0" w:line="32" w:lineRule="exact"/>
        <w:rPr>
          <w:sz w:val="20"/>
          <w:szCs w:val="20"/>
          <w:color w:val="auto"/>
        </w:rPr>
      </w:pPr>
    </w:p>
    <w:p>
      <w:pPr>
        <w:ind w:left="640" w:hanging="179"/>
        <w:spacing w:after="0"/>
        <w:tabs>
          <w:tab w:leader="none" w:pos="640" w:val="left"/>
        </w:tabs>
        <w:numPr>
          <w:ilvl w:val="0"/>
          <w:numId w:val="26"/>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Independent Compensation Consultant</w:t>
      </w:r>
    </w:p>
    <w:p>
      <w:pPr>
        <w:spacing w:after="0" w:line="30" w:lineRule="exact"/>
        <w:rPr>
          <w:sz w:val="20"/>
          <w:szCs w:val="20"/>
          <w:color w:val="auto"/>
        </w:rPr>
      </w:pPr>
    </w:p>
    <w:p>
      <w:pPr>
        <w:ind w:left="460"/>
        <w:spacing w:after="0" w:line="297" w:lineRule="auto"/>
        <w:rPr>
          <w:sz w:val="20"/>
          <w:szCs w:val="20"/>
          <w:color w:val="auto"/>
        </w:rPr>
      </w:pPr>
      <w:r>
        <w:rPr>
          <w:rFonts w:ascii="Times New Roman" w:cs="Times New Roman" w:eastAsia="Times New Roman" w:hAnsi="Times New Roman"/>
          <w:sz w:val="15"/>
          <w:szCs w:val="15"/>
          <w:color w:val="auto"/>
        </w:rPr>
        <w:t>Our compensation committee has engaged an independent compensation consultant, Compensia, a national compensation consulting firm, that performs no other services for Root.</w:t>
      </w:r>
    </w:p>
    <w:p>
      <w:pPr>
        <w:spacing w:after="0" w:line="1" w:lineRule="exact"/>
        <w:rPr>
          <w:sz w:val="20"/>
          <w:szCs w:val="20"/>
          <w:color w:val="auto"/>
        </w:rPr>
      </w:pPr>
    </w:p>
    <w:p>
      <w:pPr>
        <w:ind w:left="640" w:hanging="179"/>
        <w:spacing w:after="0"/>
        <w:tabs>
          <w:tab w:leader="none" w:pos="640" w:val="left"/>
        </w:tabs>
        <w:numPr>
          <w:ilvl w:val="0"/>
          <w:numId w:val="27"/>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Independent Compensation Committee</w:t>
      </w:r>
    </w:p>
    <w:p>
      <w:pPr>
        <w:spacing w:after="0" w:line="27" w:lineRule="exact"/>
        <w:rPr>
          <w:sz w:val="20"/>
          <w:szCs w:val="20"/>
          <w:color w:val="auto"/>
        </w:rPr>
      </w:pPr>
    </w:p>
    <w:p>
      <w:pPr>
        <w:ind w:left="460" w:right="680"/>
        <w:spacing w:after="0" w:line="246" w:lineRule="auto"/>
        <w:rPr>
          <w:sz w:val="20"/>
          <w:szCs w:val="20"/>
          <w:color w:val="auto"/>
        </w:rPr>
      </w:pPr>
      <w:r>
        <w:rPr>
          <w:rFonts w:ascii="Times New Roman" w:cs="Times New Roman" w:eastAsia="Times New Roman" w:hAnsi="Times New Roman"/>
          <w:sz w:val="18"/>
          <w:szCs w:val="18"/>
          <w:color w:val="auto"/>
        </w:rPr>
        <w:t>Our compensation committee is comprised solely of independent directors.</w:t>
      </w:r>
    </w:p>
    <w:p>
      <w:pPr>
        <w:spacing w:after="0" w:line="1" w:lineRule="exact"/>
        <w:rPr>
          <w:sz w:val="20"/>
          <w:szCs w:val="20"/>
          <w:color w:val="auto"/>
        </w:rPr>
      </w:pPr>
    </w:p>
    <w:p>
      <w:pPr>
        <w:ind w:left="460" w:right="40" w:firstLine="1"/>
        <w:spacing w:after="0" w:line="282" w:lineRule="auto"/>
        <w:tabs>
          <w:tab w:leader="none" w:pos="649" w:val="left"/>
        </w:tabs>
        <w:numPr>
          <w:ilvl w:val="0"/>
          <w:numId w:val="28"/>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Compensation Recovery (“Clawback”) Policy </w:t>
      </w:r>
      <w:r>
        <w:rPr>
          <w:rFonts w:ascii="Times New Roman" w:cs="Times New Roman" w:eastAsia="Times New Roman" w:hAnsi="Times New Roman"/>
          <w:sz w:val="16"/>
          <w:szCs w:val="16"/>
          <w:color w:val="auto"/>
        </w:rPr>
        <w:t>We have enacted a compensation recovery policy that complies with the requirements of the SEC and the applicable Nasdaq listing standards to recover certain incentive-based compensation in the event of an accounting restatement or other action deemed to cause financial or reputational harm, as further described in such policy.</w:t>
      </w:r>
    </w:p>
    <w:p>
      <w:pPr>
        <w:spacing w:after="0" w:line="3" w:lineRule="exact"/>
        <w:rPr>
          <w:rFonts w:ascii="MS PGothic" w:cs="MS PGothic" w:eastAsia="MS PGothic" w:hAnsi="MS PGothic"/>
          <w:sz w:val="16"/>
          <w:szCs w:val="16"/>
          <w:color w:val="auto"/>
          <w:highlight w:val="black"/>
        </w:rPr>
      </w:pPr>
    </w:p>
    <w:p>
      <w:pPr>
        <w:ind w:left="640" w:hanging="179"/>
        <w:spacing w:after="0"/>
        <w:tabs>
          <w:tab w:leader="none" w:pos="640" w:val="left"/>
        </w:tabs>
        <w:numPr>
          <w:ilvl w:val="0"/>
          <w:numId w:val="28"/>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Say-On-Pay Vote</w:t>
      </w:r>
    </w:p>
    <w:p>
      <w:pPr>
        <w:spacing w:after="0" w:line="22" w:lineRule="exact"/>
        <w:rPr>
          <w:sz w:val="20"/>
          <w:szCs w:val="20"/>
          <w:color w:val="auto"/>
        </w:rPr>
      </w:pPr>
    </w:p>
    <w:p>
      <w:pPr>
        <w:ind w:left="460" w:right="60"/>
        <w:spacing w:after="0" w:line="277" w:lineRule="auto"/>
        <w:rPr>
          <w:sz w:val="20"/>
          <w:szCs w:val="20"/>
          <w:color w:val="auto"/>
        </w:rPr>
      </w:pPr>
      <w:r>
        <w:rPr>
          <w:rFonts w:ascii="Times New Roman" w:cs="Times New Roman" w:eastAsia="Times New Roman" w:hAnsi="Times New Roman"/>
          <w:sz w:val="16"/>
          <w:szCs w:val="16"/>
          <w:color w:val="auto"/>
        </w:rPr>
        <w:t>We solicit an annual non-binding stockholder advisory vote to approve our named executive officer compensation.</w:t>
      </w:r>
    </w:p>
    <w:p>
      <w:pPr>
        <w:spacing w:after="0" w:line="1" w:lineRule="exact"/>
        <w:rPr>
          <w:sz w:val="20"/>
          <w:szCs w:val="20"/>
          <w:color w:val="auto"/>
        </w:rPr>
      </w:pPr>
    </w:p>
    <w:p>
      <w:pPr>
        <w:ind w:left="460" w:firstLine="1"/>
        <w:spacing w:after="0" w:line="266" w:lineRule="auto"/>
        <w:tabs>
          <w:tab w:leader="none" w:pos="649" w:val="left"/>
        </w:tabs>
        <w:numPr>
          <w:ilvl w:val="0"/>
          <w:numId w:val="29"/>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 xml:space="preserve">Reward Performance Over Multiple Time Horizons </w:t>
      </w:r>
      <w:r>
        <w:rPr>
          <w:rFonts w:ascii="Times New Roman" w:cs="Times New Roman" w:eastAsia="Times New Roman" w:hAnsi="Times New Roman"/>
          <w:sz w:val="17"/>
          <w:szCs w:val="17"/>
          <w:color w:val="auto"/>
        </w:rPr>
        <w:t>Our compensation program is structured to encourage our named executive officers to deliver strong results over the short term, while making decisions that create long-term sustained value over time for our stockholders.</w:t>
      </w:r>
    </w:p>
    <w:p>
      <w:pPr>
        <w:spacing w:after="0" w:line="1" w:lineRule="exact"/>
        <w:rPr>
          <w:rFonts w:ascii="MS PGothic" w:cs="MS PGothic" w:eastAsia="MS PGothic" w:hAnsi="MS PGothic"/>
          <w:sz w:val="17"/>
          <w:szCs w:val="17"/>
          <w:color w:val="auto"/>
          <w:highlight w:val="black"/>
        </w:rPr>
      </w:pPr>
    </w:p>
    <w:p>
      <w:pPr>
        <w:ind w:left="640" w:hanging="179"/>
        <w:spacing w:after="0"/>
        <w:tabs>
          <w:tab w:leader="none" w:pos="640" w:val="left"/>
        </w:tabs>
        <w:numPr>
          <w:ilvl w:val="0"/>
          <w:numId w:val="29"/>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Compensation At-Risk</w:t>
      </w:r>
    </w:p>
    <w:p>
      <w:pPr>
        <w:spacing w:after="0" w:line="22" w:lineRule="exact"/>
        <w:rPr>
          <w:sz w:val="20"/>
          <w:szCs w:val="20"/>
          <w:color w:val="auto"/>
        </w:rPr>
      </w:pPr>
    </w:p>
    <w:p>
      <w:pPr>
        <w:ind w:left="460" w:right="160"/>
        <w:spacing w:after="0" w:line="248" w:lineRule="auto"/>
        <w:rPr>
          <w:sz w:val="20"/>
          <w:szCs w:val="20"/>
          <w:color w:val="auto"/>
        </w:rPr>
      </w:pPr>
      <w:r>
        <w:rPr>
          <w:rFonts w:ascii="Times New Roman" w:cs="Times New Roman" w:eastAsia="Times New Roman" w:hAnsi="Times New Roman"/>
          <w:sz w:val="18"/>
          <w:szCs w:val="18"/>
          <w:color w:val="auto"/>
        </w:rPr>
        <w:t>In order to align the interests of our named executive officers with those of our stockholders, a significant portion of the target total direct compensation for our named executive officers is equity-based and/or “at risk,” subject to Company performance.</w:t>
      </w:r>
    </w:p>
    <w:p>
      <w:pPr>
        <w:spacing w:after="0" w:line="4" w:lineRule="exact"/>
        <w:rPr>
          <w:sz w:val="20"/>
          <w:szCs w:val="20"/>
          <w:color w:val="auto"/>
        </w:rPr>
      </w:pPr>
    </w:p>
    <w:p>
      <w:pPr>
        <w:ind w:left="640" w:hanging="179"/>
        <w:spacing w:after="0"/>
        <w:tabs>
          <w:tab w:leader="none" w:pos="640" w:val="left"/>
        </w:tabs>
        <w:numPr>
          <w:ilvl w:val="0"/>
          <w:numId w:val="30"/>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Succession Planning</w:t>
      </w:r>
    </w:p>
    <w:p>
      <w:pPr>
        <w:spacing w:after="0" w:line="27"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succession plans for key executive positions.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81" w:hanging="181"/>
        <w:spacing w:after="0"/>
        <w:tabs>
          <w:tab w:leader="none" w:pos="181"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Perquisites and Other Benefits</w:t>
      </w:r>
    </w:p>
    <w:p>
      <w:pPr>
        <w:spacing w:after="0" w:line="18" w:lineRule="exact"/>
        <w:rPr>
          <w:sz w:val="20"/>
          <w:szCs w:val="20"/>
          <w:color w:val="auto"/>
        </w:rPr>
      </w:pPr>
    </w:p>
    <w:p>
      <w:pPr>
        <w:ind w:left="1" w:right="359"/>
        <w:spacing w:after="0" w:line="248" w:lineRule="auto"/>
        <w:rPr>
          <w:sz w:val="20"/>
          <w:szCs w:val="20"/>
          <w:color w:val="auto"/>
        </w:rPr>
      </w:pPr>
      <w:r>
        <w:rPr>
          <w:rFonts w:ascii="Times New Roman" w:cs="Times New Roman" w:eastAsia="Times New Roman" w:hAnsi="Times New Roman"/>
          <w:sz w:val="18"/>
          <w:szCs w:val="18"/>
          <w:color w:val="auto"/>
        </w:rPr>
        <w:t>Unless deemed necessary to ensure business continuity, we generally do not offer perquisites or other personal benefits to our named executive officers that are not widely available to all full-time employees.</w:t>
      </w:r>
    </w:p>
    <w:p>
      <w:pPr>
        <w:spacing w:after="0" w:line="2" w:lineRule="exact"/>
        <w:rPr>
          <w:sz w:val="20"/>
          <w:szCs w:val="20"/>
          <w:color w:val="auto"/>
        </w:rPr>
      </w:pPr>
    </w:p>
    <w:p>
      <w:pPr>
        <w:ind w:left="181" w:hanging="181"/>
        <w:spacing w:after="0"/>
        <w:tabs>
          <w:tab w:leader="none" w:pos="181"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Stock Option Repricing</w:t>
      </w:r>
    </w:p>
    <w:p>
      <w:pPr>
        <w:spacing w:after="0" w:line="16" w:lineRule="exact"/>
        <w:rPr>
          <w:sz w:val="20"/>
          <w:szCs w:val="20"/>
          <w:color w:val="auto"/>
        </w:rPr>
      </w:pPr>
    </w:p>
    <w:p>
      <w:pPr>
        <w:ind w:left="1" w:right="459"/>
        <w:spacing w:after="0" w:line="246" w:lineRule="auto"/>
        <w:rPr>
          <w:sz w:val="20"/>
          <w:szCs w:val="20"/>
          <w:color w:val="auto"/>
        </w:rPr>
      </w:pPr>
      <w:r>
        <w:rPr>
          <w:rFonts w:ascii="Times New Roman" w:cs="Times New Roman" w:eastAsia="Times New Roman" w:hAnsi="Times New Roman"/>
          <w:sz w:val="18"/>
          <w:szCs w:val="18"/>
          <w:color w:val="auto"/>
        </w:rPr>
        <w:t>We have not repriced out-of-the-money stock options granted to our named executive officers.</w:t>
      </w:r>
    </w:p>
    <w:p>
      <w:pPr>
        <w:spacing w:after="0" w:line="1" w:lineRule="exact"/>
        <w:rPr>
          <w:sz w:val="20"/>
          <w:szCs w:val="20"/>
          <w:color w:val="auto"/>
        </w:rPr>
      </w:pPr>
    </w:p>
    <w:p>
      <w:pPr>
        <w:ind w:left="181" w:hanging="181"/>
        <w:spacing w:after="0"/>
        <w:tabs>
          <w:tab w:leader="none" w:pos="181" w:val="left"/>
        </w:tabs>
        <w:numPr>
          <w:ilvl w:val="0"/>
          <w:numId w:val="3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Hedging and Pledging of our Equity Securities</w:t>
      </w:r>
    </w:p>
    <w:p>
      <w:pPr>
        <w:spacing w:after="0" w:line="16" w:lineRule="exact"/>
        <w:rPr>
          <w:sz w:val="20"/>
          <w:szCs w:val="20"/>
          <w:color w:val="auto"/>
        </w:rPr>
      </w:pPr>
    </w:p>
    <w:p>
      <w:pPr>
        <w:ind w:left="1" w:right="399"/>
        <w:spacing w:after="0" w:line="280" w:lineRule="auto"/>
        <w:rPr>
          <w:sz w:val="20"/>
          <w:szCs w:val="20"/>
          <w:color w:val="auto"/>
        </w:rPr>
      </w:pPr>
      <w:r>
        <w:rPr>
          <w:rFonts w:ascii="Times New Roman" w:cs="Times New Roman" w:eastAsia="Times New Roman" w:hAnsi="Times New Roman"/>
          <w:sz w:val="16"/>
          <w:szCs w:val="16"/>
          <w:color w:val="auto"/>
        </w:rPr>
        <w:t>We prohibit our employees, including our named executive officers and the non-employee members of our board of directors, from hedging our equity securities or purchasing our equity securities on margin or holding them in a margin account. Pledging our shares as collateral for a loan is also prohibited except by our non-employee directors and our executive officers with the prior approval of our CFO and Chief Legal Officer and Secretary. None of our executive officers or non-employee directors has pledged our equity securities as of the date of this Proxy Statement.</w:t>
      </w:r>
    </w:p>
    <w:p>
      <w:pPr>
        <w:spacing w:after="0" w:line="7" w:lineRule="exact"/>
        <w:rPr>
          <w:sz w:val="20"/>
          <w:szCs w:val="20"/>
          <w:color w:val="auto"/>
        </w:rPr>
      </w:pPr>
    </w:p>
    <w:p>
      <w:pPr>
        <w:ind w:left="181" w:hanging="181"/>
        <w:spacing w:after="0"/>
        <w:tabs>
          <w:tab w:leader="none" w:pos="181" w:val="left"/>
        </w:tabs>
        <w:numPr>
          <w:ilvl w:val="0"/>
          <w:numId w:val="3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No Separate Executive Retirement Plans</w:t>
      </w:r>
    </w:p>
    <w:p>
      <w:pPr>
        <w:spacing w:after="0" w:line="16" w:lineRule="exact"/>
        <w:rPr>
          <w:sz w:val="20"/>
          <w:szCs w:val="20"/>
          <w:color w:val="auto"/>
        </w:rPr>
      </w:pPr>
    </w:p>
    <w:p>
      <w:pPr>
        <w:ind w:left="1" w:right="419"/>
        <w:spacing w:after="0" w:line="249" w:lineRule="auto"/>
        <w:rPr>
          <w:sz w:val="20"/>
          <w:szCs w:val="20"/>
          <w:color w:val="auto"/>
        </w:rPr>
      </w:pPr>
      <w:r>
        <w:rPr>
          <w:rFonts w:ascii="Times New Roman" w:cs="Times New Roman" w:eastAsia="Times New Roman" w:hAnsi="Times New Roman"/>
          <w:sz w:val="18"/>
          <w:szCs w:val="18"/>
          <w:color w:val="auto"/>
        </w:rPr>
        <w:t>We do not offer defined benefit pension plans or any non-qualified deferred compensation plans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2" w:lineRule="exact"/>
        <w:rPr>
          <w:sz w:val="20"/>
          <w:szCs w:val="20"/>
          <w:color w:val="auto"/>
        </w:rPr>
      </w:pPr>
    </w:p>
    <w:p>
      <w:pPr>
        <w:ind w:left="181" w:hanging="181"/>
        <w:spacing w:after="0"/>
        <w:tabs>
          <w:tab w:leader="none" w:pos="181" w:val="left"/>
        </w:tabs>
        <w:numPr>
          <w:ilvl w:val="0"/>
          <w:numId w:val="35"/>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No Guaranteed Salary Increases or Bonuses</w:t>
      </w:r>
    </w:p>
    <w:p>
      <w:pPr>
        <w:spacing w:after="0" w:line="16" w:lineRule="exact"/>
        <w:rPr>
          <w:sz w:val="20"/>
          <w:szCs w:val="20"/>
          <w:color w:val="auto"/>
        </w:rPr>
      </w:pPr>
    </w:p>
    <w:p>
      <w:pPr>
        <w:ind w:left="1" w:right="379"/>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not guaranteed an annual salary increase or bonus, whether discretionary or as part of the annual incentive program.</w:t>
      </w:r>
    </w:p>
    <w:p>
      <w:pPr>
        <w:spacing w:after="0" w:line="203" w:lineRule="exact"/>
        <w:rPr>
          <w:sz w:val="20"/>
          <w:szCs w:val="20"/>
          <w:color w:val="auto"/>
        </w:rPr>
      </w:pPr>
    </w:p>
    <w:p>
      <w:pPr>
        <w:sectPr>
          <w:pgSz w:w="11900" w:h="16838" w:orient="portrait"/>
          <w:cols w:equalWidth="0" w:num="2">
            <w:col w:w="4460" w:space="199"/>
            <w:col w:w="4360"/>
          </w:cols>
          <w:pgMar w:left="1440" w:top="1228" w:right="1440"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Decision Making Process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Advisory Vote on Named Executive Officer Compensation</w:t>
      </w:r>
    </w:p>
    <w:p>
      <w:pPr>
        <w:spacing w:after="0" w:line="229"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At our 2025 Annual Meeting, we received approximately 92% approval, based on the total shares present and entitled to vote, for our annual advisory Say-on-Pay vote to approve the compensation of our named executive</w:t>
      </w:r>
    </w:p>
    <w:p>
      <w:pPr>
        <w:sectPr>
          <w:pgSz w:w="11900" w:h="16838" w:orient="portrait"/>
          <w:cols w:equalWidth="0" w:num="1">
            <w:col w:w="9019"/>
          </w:cols>
          <w:pgMar w:left="1440" w:top="12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019"/>
          </w:cols>
          <w:pgMar w:left="1440" w:top="1228" w:right="1440" w:bottom="1440" w:gutter="0" w:footer="0" w:header="0"/>
          <w:type w:val="continuous"/>
        </w:sectPr>
      </w:pPr>
    </w:p>
    <w:bookmarkStart w:id="37" w:name="page38"/>
    <w:bookmarkEnd w:id="37"/>
    <w:p>
      <w:pPr>
        <w:ind w:left="300" w:right="29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officers. The 2025 result represents the fourth straight year of above 90% approval since the first vote in 2022. Even with these strong results, the compensation committee continues to assess the program to help ensure alignment with stockholder interests and peer practices and its ability to retain and reward our named executive officers. The compensation committee’s review of the program in 2025 led to the updated annual incentive plan and redesigned PSU grants as described further below, along with the adoption of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229" w:lineRule="exact"/>
        <w:rPr>
          <w:sz w:val="20"/>
          <w:szCs w:val="20"/>
          <w:color w:val="auto"/>
        </w:rPr>
      </w:pPr>
    </w:p>
    <w:p>
      <w:pPr>
        <w:ind w:left="300" w:right="719"/>
        <w:spacing w:after="0" w:line="256"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program policies, plans, and practices. The compensation committee regularly meets with and without management present and has the final authority to determine compensation programs, policies, and amounts to be paid to our named executive officers. Typically, early in each year, the compensation committee will approve annual cash incentive award payouts, long-term incentive compensation awards, and any adjustments to base salary or target annual cash incentive award opportunities.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2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Our CEO, Chief Administration Officer, Chief Financial Officer, and Vice President of People regularly attended compensation committee meetings in 2025 to provide information on our executive compensation program, including financial analysis, recommendations for compensation elements, and updates on our ongoing incentive compensation plans and awards. Our CEO provides recommendations to the compensation committee regarding the compensation for his direct reports in his role as their manager. Our CEO is not present during the portions of the compensation committee meetings when his compensation is discussed and determined.</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Compensation Consultant</w:t>
      </w:r>
    </w:p>
    <w:p>
      <w:pPr>
        <w:spacing w:after="0" w:line="229" w:lineRule="exact"/>
        <w:rPr>
          <w:sz w:val="20"/>
          <w:szCs w:val="20"/>
          <w:color w:val="auto"/>
        </w:rPr>
      </w:pPr>
    </w:p>
    <w:p>
      <w:pPr>
        <w:ind w:left="300" w:right="419"/>
        <w:spacing w:after="0" w:line="275" w:lineRule="auto"/>
        <w:rPr>
          <w:sz w:val="20"/>
          <w:szCs w:val="20"/>
          <w:color w:val="auto"/>
        </w:rPr>
      </w:pPr>
      <w:r>
        <w:rPr>
          <w:rFonts w:ascii="Times New Roman" w:cs="Times New Roman" w:eastAsia="Times New Roman" w:hAnsi="Times New Roman"/>
          <w:sz w:val="17"/>
          <w:szCs w:val="17"/>
          <w:color w:val="auto"/>
        </w:rPr>
        <w:t>During 2025, the compensation committee retained Compensia, Inc. (which we refer to as the “compensation consultant” in this Proxy Statement) to provide support with respect to the oversight of our executive compensation program. The consultant regularly attends compensation committee meetings, both with and without management present, and the compensation committee will occasionally request reviews of market trends for plan design and analyses of competitive market compensation information to assist with its decision-making. The compensation consultant provides information, advice, and other requested support to our compensation committee, but does not make decisions relating to the amount or design of our compensation program for our named executive officers.</w:t>
      </w:r>
    </w:p>
    <w:p>
      <w:pPr>
        <w:spacing w:after="0" w:line="22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compensation committee has annually assessed Compensia’s independence and, after considering and assessing all relevant factors (including those required by the SEC and Nasdaq) that could give rise to a potential conflict of interest, concluded that Compensia’s work did not raise any conflicts of interest.</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228" w:right="1440" w:bottom="1440" w:gutter="0" w:footer="0" w:header="0"/>
          <w:type w:val="continuous"/>
        </w:sectPr>
      </w:pPr>
    </w:p>
    <w:bookmarkStart w:id="38" w:name="page39"/>
    <w:bookmarkEnd w:id="38"/>
    <w:p>
      <w:pPr>
        <w:ind w:left="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Comparative Compensation Information</w:t>
      </w:r>
    </w:p>
    <w:p>
      <w:pPr>
        <w:spacing w:after="0" w:line="2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compensation committee uses a compensation peer group as a reference to assess competitive market practices and to evaluate the 2025 compensation levels for our named executive officers and the non-employee director compensation policy. The compensation committee reviews the peer group each year and makes adjustments to its composition as necessary to help ensure that its members are comparable to Root. When reviewing the 2025 peer group, the compensation committee considered relevant selection criteria, including company ownership structure, headquarter country location, industry, market capitalization, revenue, and proximity to the completion of an initial public offering, among other qualitative factors. Following its annual review of our peer group with the compensation consultant in 2025, the compensation committee determined that updates to the peer group were necessary due to the increase in Root’s market capitalization and revenue, along with the continued evolution of the peer group to be a balance of traditional insurers and Fintech/Insurtech companies, which reflects the talent market we compete in and companies investors compare us against.</w:t>
      </w:r>
    </w:p>
    <w:p>
      <w:pPr>
        <w:spacing w:after="0" w:line="192"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 following tables display the prior peer group, which was used for 2025 compensation decisions, and the new peer group, which was approved in July 2025 and used for 2026 compensation decisions.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Prior Peer Group </w:t>
      </w:r>
      <w:r>
        <w:rPr>
          <w:rFonts w:ascii="Times New Roman" w:cs="Times New Roman" w:eastAsia="Times New Roman" w:hAnsi="Times New Roman"/>
          <w:sz w:val="23"/>
          <w:szCs w:val="23"/>
          <w:b w:val="1"/>
          <w:bCs w:val="1"/>
          <w:color w:val="auto"/>
          <w:vertAlign w:val="superscript"/>
        </w:rPr>
        <w:t>(1)</w:t>
      </w:r>
    </w:p>
    <w:tbl>
      <w:tblPr>
        <w:tblLayout w:type="fixed"/>
        <w:tblInd w:w="310" w:type="dxa"/>
        <w:tblCellMar>
          <w:top w:w="0" w:type="dxa"/>
          <w:left w:w="0" w:type="dxa"/>
          <w:bottom w:w="0" w:type="dxa"/>
          <w:right w:w="0" w:type="dxa"/>
        </w:tblCellMar>
      </w:tblPr>
      <w:tr>
        <w:trPr>
          <w:trHeight w:val="218"/>
        </w:trPr>
        <w:tc>
          <w:tcPr>
            <w:tcW w:w="2120" w:type="dxa"/>
            <w:vAlign w:val="bottom"/>
            <w:tcBorders>
              <w:top w:val="single" w:sz="8" w:color="FF5715"/>
              <w:left w:val="single" w:sz="8" w:color="DBDBDB"/>
              <w:right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Ambac Financial Group</w:t>
            </w:r>
          </w:p>
        </w:tc>
        <w:tc>
          <w:tcPr>
            <w:tcW w:w="2100" w:type="dxa"/>
            <w:vAlign w:val="bottom"/>
            <w:tcBorders>
              <w:top w:val="single" w:sz="8" w:color="FF5715"/>
              <w:right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GoHealth</w:t>
            </w:r>
          </w:p>
        </w:tc>
        <w:tc>
          <w:tcPr>
            <w:tcW w:w="2100" w:type="dxa"/>
            <w:vAlign w:val="bottom"/>
            <w:tcBorders>
              <w:top w:val="single" w:sz="8" w:color="FF5715"/>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Lemonade</w:t>
            </w:r>
          </w:p>
        </w:tc>
        <w:tc>
          <w:tcPr>
            <w:tcW w:w="2120" w:type="dxa"/>
            <w:vAlign w:val="bottom"/>
            <w:tcBorders>
              <w:top w:val="single" w:sz="8" w:color="FF5715"/>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Safety Ins. Group</w:t>
            </w:r>
          </w:p>
        </w:tc>
      </w:tr>
      <w:tr>
        <w:trPr>
          <w:trHeight w:val="203"/>
        </w:trPr>
        <w:tc>
          <w:tcPr>
            <w:tcW w:w="2120" w:type="dxa"/>
            <w:vAlign w:val="bottom"/>
            <w:tcBorders>
              <w:left w:val="single" w:sz="8" w:color="DBDBDB"/>
              <w:right w:val="single" w:sz="8" w:color="DBDBDB"/>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AvidXchange Holdings</w:t>
            </w:r>
          </w:p>
        </w:tc>
        <w:tc>
          <w:tcPr>
            <w:tcW w:w="2100" w:type="dxa"/>
            <w:vAlign w:val="bottom"/>
            <w:tcBorders>
              <w:right w:val="single" w:sz="8" w:color="DBDBDB"/>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Goosehead Insurance</w:t>
            </w:r>
          </w:p>
        </w:tc>
        <w:tc>
          <w:tcPr>
            <w:tcW w:w="210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Lending Club</w:t>
            </w:r>
          </w:p>
        </w:tc>
        <w:tc>
          <w:tcPr>
            <w:tcW w:w="21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Tiptree</w:t>
            </w:r>
          </w:p>
        </w:tc>
      </w:tr>
      <w:tr>
        <w:trPr>
          <w:trHeight w:val="203"/>
        </w:trPr>
        <w:tc>
          <w:tcPr>
            <w:tcW w:w="2120" w:type="dxa"/>
            <w:vAlign w:val="bottom"/>
            <w:tcBorders>
              <w:left w:val="single" w:sz="8" w:color="DBDBDB"/>
              <w:right w:val="single" w:sz="8" w:color="DBDBDB"/>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Baldwin Ins. Group</w:t>
            </w:r>
          </w:p>
        </w:tc>
        <w:tc>
          <w:tcPr>
            <w:tcW w:w="2100" w:type="dxa"/>
            <w:vAlign w:val="bottom"/>
            <w:tcBorders>
              <w:right w:val="single" w:sz="8" w:color="DBDBDB"/>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Guidewire Software</w:t>
            </w:r>
          </w:p>
        </w:tc>
        <w:tc>
          <w:tcPr>
            <w:tcW w:w="210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Marqeta</w:t>
            </w:r>
          </w:p>
        </w:tc>
        <w:tc>
          <w:tcPr>
            <w:tcW w:w="21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United Fire Group</w:t>
            </w:r>
          </w:p>
        </w:tc>
      </w:tr>
      <w:tr>
        <w:trPr>
          <w:trHeight w:val="203"/>
        </w:trPr>
        <w:tc>
          <w:tcPr>
            <w:tcW w:w="2120" w:type="dxa"/>
            <w:vAlign w:val="bottom"/>
            <w:tcBorders>
              <w:left w:val="single" w:sz="8" w:color="DBDBDB"/>
              <w:right w:val="single" w:sz="8" w:color="DBDBDB"/>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EVERTEC</w:t>
            </w:r>
          </w:p>
        </w:tc>
        <w:tc>
          <w:tcPr>
            <w:tcW w:w="2100" w:type="dxa"/>
            <w:vAlign w:val="bottom"/>
            <w:tcBorders>
              <w:right w:val="single" w:sz="8" w:color="DBDBDB"/>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HCI Group</w:t>
            </w:r>
          </w:p>
        </w:tc>
        <w:tc>
          <w:tcPr>
            <w:tcW w:w="210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MoneyLion</w:t>
            </w:r>
          </w:p>
        </w:tc>
        <w:tc>
          <w:tcPr>
            <w:tcW w:w="21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Universal Ins. Holdings</w:t>
            </w:r>
          </w:p>
        </w:tc>
      </w:tr>
      <w:tr>
        <w:trPr>
          <w:trHeight w:val="234"/>
        </w:trPr>
        <w:tc>
          <w:tcPr>
            <w:tcW w:w="2120" w:type="dxa"/>
            <w:vAlign w:val="bottom"/>
            <w:tcBorders>
              <w:left w:val="single" w:sz="8" w:color="DBDBDB"/>
              <w:right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Flywire</w:t>
            </w:r>
          </w:p>
        </w:tc>
        <w:tc>
          <w:tcPr>
            <w:tcW w:w="2100" w:type="dxa"/>
            <w:vAlign w:val="bottom"/>
            <w:tcBorders>
              <w:right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Int’l Money Express</w:t>
            </w:r>
          </w:p>
        </w:tc>
        <w:tc>
          <w:tcPr>
            <w:tcW w:w="2100" w:type="dxa"/>
            <w:vAlign w:val="bottom"/>
            <w:tcBorders>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Palomar Holdings</w:t>
            </w:r>
          </w:p>
        </w:tc>
        <w:tc>
          <w:tcPr>
            <w:tcW w:w="2120" w:type="dxa"/>
            <w:vAlign w:val="bottom"/>
            <w:tcBorders>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Upstart Holdings</w:t>
            </w:r>
          </w:p>
        </w:tc>
      </w:tr>
      <w:tr>
        <w:trPr>
          <w:trHeight w:val="108"/>
        </w:trPr>
        <w:tc>
          <w:tcPr>
            <w:tcW w:w="2120" w:type="dxa"/>
            <w:vAlign w:val="bottom"/>
            <w:tcBorders>
              <w:left w:val="single" w:sz="8" w:color="DBDBDB"/>
              <w:bottom w:val="single" w:sz="8" w:color="DBDBDB"/>
              <w:right w:val="single" w:sz="8" w:color="DBDBDB"/>
            </w:tcBorders>
          </w:tcPr>
          <w:p>
            <w:pPr>
              <w:spacing w:after="0"/>
              <w:rPr>
                <w:sz w:val="9"/>
                <w:szCs w:val="9"/>
                <w:color w:val="auto"/>
              </w:rPr>
            </w:pPr>
          </w:p>
        </w:tc>
        <w:tc>
          <w:tcPr>
            <w:tcW w:w="2100" w:type="dxa"/>
            <w:vAlign w:val="bottom"/>
            <w:tcBorders>
              <w:bottom w:val="single" w:sz="8" w:color="DBDBDB"/>
              <w:right w:val="single" w:sz="8" w:color="DBDBDB"/>
            </w:tcBorders>
          </w:tcPr>
          <w:p>
            <w:pPr>
              <w:spacing w:after="0"/>
              <w:rPr>
                <w:sz w:val="9"/>
                <w:szCs w:val="9"/>
                <w:color w:val="auto"/>
              </w:rPr>
            </w:pPr>
          </w:p>
        </w:tc>
        <w:tc>
          <w:tcPr>
            <w:tcW w:w="2100" w:type="dxa"/>
            <w:vAlign w:val="bottom"/>
            <w:tcBorders>
              <w:bottom w:val="single" w:sz="8" w:color="DBDBDB"/>
              <w:right w:val="single" w:sz="8" w:color="DBDBDB"/>
            </w:tcBorders>
          </w:tcPr>
          <w:p>
            <w:pPr>
              <w:spacing w:after="0"/>
              <w:rPr>
                <w:sz w:val="9"/>
                <w:szCs w:val="9"/>
                <w:color w:val="auto"/>
              </w:rPr>
            </w:pPr>
          </w:p>
        </w:tc>
        <w:tc>
          <w:tcPr>
            <w:tcW w:w="2120" w:type="dxa"/>
            <w:vAlign w:val="bottom"/>
            <w:tcBorders>
              <w:bottom w:val="single" w:sz="8" w:color="DBDBDB"/>
              <w:right w:val="single" w:sz="8" w:color="DBDBDB"/>
            </w:tcBorders>
          </w:tcPr>
          <w:p>
            <w:pPr>
              <w:spacing w:after="0"/>
              <w:rPr>
                <w:sz w:val="9"/>
                <w:szCs w:val="9"/>
                <w:color w:val="auto"/>
              </w:rPr>
            </w:pPr>
          </w:p>
        </w:tc>
      </w:tr>
    </w:tbl>
    <w:p>
      <w:pPr>
        <w:spacing w:after="0" w:line="207" w:lineRule="exact"/>
        <w:rPr>
          <w:sz w:val="20"/>
          <w:szCs w:val="20"/>
          <w:color w:val="auto"/>
        </w:rPr>
      </w:pPr>
    </w:p>
    <w:p>
      <w:pPr>
        <w:ind w:left="620" w:right="439" w:hanging="328"/>
        <w:spacing w:after="0" w:line="261" w:lineRule="auto"/>
        <w:tabs>
          <w:tab w:leader="none" w:pos="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to the peer group used for 2024 compensation decisions, Blend Labs, Donegal Group, eHealth, Heritage Insurance Holdings, Lending Tree, Mercury General, NI Holdings, Select Quote, and Trean Insurance Group were removed while AvidXchange Holdings, The Baldwin Ins. Group, EVERTEC, Flywire, GoHealth, Goosehead Insurance, Guidewire Software, Int’l Money Express, Lending Club, Marqeta, MoneyLion, Palomar Holdings, and Upstart Holdings were added.</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Peer Group</w:t>
      </w:r>
    </w:p>
    <w:p>
      <w:pPr>
        <w:spacing w:after="0" w:line="4" w:lineRule="exact"/>
        <w:rPr>
          <w:sz w:val="20"/>
          <w:szCs w:val="20"/>
          <w:color w:val="auto"/>
        </w:rPr>
      </w:pPr>
    </w:p>
    <w:tbl>
      <w:tblPr>
        <w:tblLayout w:type="fixed"/>
        <w:tblInd w:w="310" w:type="dxa"/>
        <w:tblCellMar>
          <w:top w:w="0" w:type="dxa"/>
          <w:left w:w="0" w:type="dxa"/>
          <w:bottom w:w="0" w:type="dxa"/>
          <w:right w:w="0" w:type="dxa"/>
        </w:tblCellMar>
      </w:tblPr>
      <w:tr>
        <w:trPr>
          <w:trHeight w:val="205"/>
        </w:trPr>
        <w:tc>
          <w:tcPr>
            <w:tcW w:w="2120" w:type="dxa"/>
            <w:vAlign w:val="bottom"/>
            <w:tcBorders>
              <w:top w:val="single" w:sz="8" w:color="FF5715"/>
              <w:left w:val="single" w:sz="8" w:color="DBDBDB"/>
              <w:right w:val="single" w:sz="8" w:color="DBDBDB"/>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AvidXchange Holdings</w:t>
            </w:r>
          </w:p>
        </w:tc>
        <w:tc>
          <w:tcPr>
            <w:tcW w:w="2180" w:type="dxa"/>
            <w:vAlign w:val="bottom"/>
            <w:tcBorders>
              <w:top w:val="single" w:sz="8" w:color="FF5715"/>
              <w:right w:val="single" w:sz="8" w:color="DBDBDB"/>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Guidewire Software</w:t>
            </w:r>
          </w:p>
        </w:tc>
        <w:tc>
          <w:tcPr>
            <w:tcW w:w="2020" w:type="dxa"/>
            <w:vAlign w:val="bottom"/>
            <w:tcBorders>
              <w:top w:val="single" w:sz="8" w:color="FF5715"/>
              <w:right w:val="single" w:sz="8" w:color="DBDBDB"/>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MoneyLion</w:t>
            </w:r>
          </w:p>
        </w:tc>
        <w:tc>
          <w:tcPr>
            <w:tcW w:w="2120" w:type="dxa"/>
            <w:vAlign w:val="bottom"/>
            <w:tcBorders>
              <w:top w:val="single" w:sz="8" w:color="FF5715"/>
              <w:right w:val="single" w:sz="8" w:color="DBDBDB"/>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Trupanion</w:t>
            </w:r>
          </w:p>
        </w:tc>
      </w:tr>
      <w:tr>
        <w:trPr>
          <w:trHeight w:val="202"/>
        </w:trPr>
        <w:tc>
          <w:tcPr>
            <w:tcW w:w="2120" w:type="dxa"/>
            <w:vAlign w:val="bottom"/>
            <w:tcBorders>
              <w:left w:val="single" w:sz="8" w:color="DBDBDB"/>
              <w:right w:val="single" w:sz="8" w:color="DBDBDB"/>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Bread Financial Holdings</w:t>
            </w:r>
          </w:p>
        </w:tc>
        <w:tc>
          <w:tcPr>
            <w:tcW w:w="2180" w:type="dxa"/>
            <w:vAlign w:val="bottom"/>
            <w:tcBorders>
              <w:right w:val="single" w:sz="8" w:color="DBDBDB"/>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HCI Group</w:t>
            </w:r>
          </w:p>
        </w:tc>
        <w:tc>
          <w:tcPr>
            <w:tcW w:w="20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OneMain Holdings</w:t>
            </w:r>
          </w:p>
        </w:tc>
        <w:tc>
          <w:tcPr>
            <w:tcW w:w="21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United Fire Group</w:t>
            </w:r>
          </w:p>
        </w:tc>
      </w:tr>
      <w:tr>
        <w:trPr>
          <w:trHeight w:val="203"/>
        </w:trPr>
        <w:tc>
          <w:tcPr>
            <w:tcW w:w="2120" w:type="dxa"/>
            <w:vAlign w:val="bottom"/>
            <w:tcBorders>
              <w:left w:val="single" w:sz="8" w:color="DBDBDB"/>
              <w:right w:val="single" w:sz="8" w:color="DBDBDB"/>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The Baldwin Ins. Group</w:t>
            </w:r>
          </w:p>
        </w:tc>
        <w:tc>
          <w:tcPr>
            <w:tcW w:w="2180" w:type="dxa"/>
            <w:vAlign w:val="bottom"/>
            <w:tcBorders>
              <w:right w:val="single" w:sz="8" w:color="DBDBDB"/>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Lemonade</w:t>
            </w:r>
          </w:p>
        </w:tc>
        <w:tc>
          <w:tcPr>
            <w:tcW w:w="20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Palomar Holdings</w:t>
            </w:r>
          </w:p>
        </w:tc>
        <w:tc>
          <w:tcPr>
            <w:tcW w:w="21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Universal Ins. Holdings</w:t>
            </w:r>
          </w:p>
        </w:tc>
      </w:tr>
      <w:tr>
        <w:trPr>
          <w:trHeight w:val="203"/>
        </w:trPr>
        <w:tc>
          <w:tcPr>
            <w:tcW w:w="2120" w:type="dxa"/>
            <w:vAlign w:val="bottom"/>
            <w:tcBorders>
              <w:left w:val="single" w:sz="8" w:color="DBDBDB"/>
              <w:right w:val="single" w:sz="8" w:color="DBDBDB"/>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EVERTEC</w:t>
            </w:r>
          </w:p>
        </w:tc>
        <w:tc>
          <w:tcPr>
            <w:tcW w:w="2180" w:type="dxa"/>
            <w:vAlign w:val="bottom"/>
            <w:tcBorders>
              <w:right w:val="single" w:sz="8" w:color="DBDBDB"/>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Lending Club</w:t>
            </w:r>
          </w:p>
        </w:tc>
        <w:tc>
          <w:tcPr>
            <w:tcW w:w="20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Safety Ins. Group</w:t>
            </w:r>
          </w:p>
        </w:tc>
        <w:tc>
          <w:tcPr>
            <w:tcW w:w="2120" w:type="dxa"/>
            <w:vAlign w:val="bottom"/>
            <w:tcBorders>
              <w:right w:val="single" w:sz="8" w:color="DBDBDB"/>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Upstart Holdings</w:t>
            </w:r>
          </w:p>
        </w:tc>
      </w:tr>
      <w:tr>
        <w:trPr>
          <w:trHeight w:val="234"/>
        </w:trPr>
        <w:tc>
          <w:tcPr>
            <w:tcW w:w="2120" w:type="dxa"/>
            <w:vAlign w:val="bottom"/>
            <w:tcBorders>
              <w:left w:val="single" w:sz="8" w:color="DBDBDB"/>
              <w:right w:val="single" w:sz="8" w:color="DBDBDB"/>
            </w:tcBorders>
          </w:tcPr>
          <w:p>
            <w:pPr>
              <w:ind w:left="60"/>
              <w:spacing w:after="0"/>
              <w:rPr>
                <w:sz w:val="20"/>
                <w:szCs w:val="20"/>
                <w:color w:val="auto"/>
              </w:rPr>
            </w:pPr>
            <w:r>
              <w:rPr>
                <w:rFonts w:ascii="Times New Roman" w:cs="Times New Roman" w:eastAsia="Times New Roman" w:hAnsi="Times New Roman"/>
                <w:sz w:val="18"/>
                <w:szCs w:val="18"/>
                <w:color w:val="auto"/>
              </w:rPr>
              <w:t>Flywire</w:t>
            </w:r>
          </w:p>
        </w:tc>
        <w:tc>
          <w:tcPr>
            <w:tcW w:w="2180" w:type="dxa"/>
            <w:vAlign w:val="bottom"/>
            <w:tcBorders>
              <w:right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Marqeta</w:t>
            </w:r>
          </w:p>
        </w:tc>
        <w:tc>
          <w:tcPr>
            <w:tcW w:w="2020" w:type="dxa"/>
            <w:vAlign w:val="bottom"/>
            <w:tcBorders>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Tiptree</w:t>
            </w:r>
          </w:p>
        </w:tc>
        <w:tc>
          <w:tcPr>
            <w:tcW w:w="2120" w:type="dxa"/>
            <w:vAlign w:val="bottom"/>
            <w:tcBorders>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WEX</w:t>
            </w:r>
          </w:p>
        </w:tc>
      </w:tr>
      <w:tr>
        <w:trPr>
          <w:trHeight w:val="121"/>
        </w:trPr>
        <w:tc>
          <w:tcPr>
            <w:tcW w:w="2120" w:type="dxa"/>
            <w:vAlign w:val="bottom"/>
            <w:tcBorders>
              <w:left w:val="single" w:sz="8" w:color="DBDBDB"/>
              <w:bottom w:val="single" w:sz="8" w:color="DBDBDB"/>
              <w:right w:val="single" w:sz="8" w:color="DBDBDB"/>
            </w:tcBorders>
          </w:tcPr>
          <w:p>
            <w:pPr>
              <w:spacing w:after="0"/>
              <w:rPr>
                <w:sz w:val="10"/>
                <w:szCs w:val="10"/>
                <w:color w:val="auto"/>
              </w:rPr>
            </w:pPr>
          </w:p>
        </w:tc>
        <w:tc>
          <w:tcPr>
            <w:tcW w:w="2180" w:type="dxa"/>
            <w:vAlign w:val="bottom"/>
            <w:tcBorders>
              <w:bottom w:val="single" w:sz="8" w:color="DBDBDB"/>
              <w:right w:val="single" w:sz="8" w:color="DBDBDB"/>
            </w:tcBorders>
          </w:tcPr>
          <w:p>
            <w:pPr>
              <w:spacing w:after="0"/>
              <w:rPr>
                <w:sz w:val="10"/>
                <w:szCs w:val="10"/>
                <w:color w:val="auto"/>
              </w:rPr>
            </w:pPr>
          </w:p>
        </w:tc>
        <w:tc>
          <w:tcPr>
            <w:tcW w:w="2020" w:type="dxa"/>
            <w:vAlign w:val="bottom"/>
            <w:tcBorders>
              <w:bottom w:val="single" w:sz="8" w:color="DBDBDB"/>
              <w:right w:val="single" w:sz="8" w:color="DBDBDB"/>
            </w:tcBorders>
          </w:tcPr>
          <w:p>
            <w:pPr>
              <w:spacing w:after="0"/>
              <w:rPr>
                <w:sz w:val="10"/>
                <w:szCs w:val="10"/>
                <w:color w:val="auto"/>
              </w:rPr>
            </w:pPr>
          </w:p>
        </w:tc>
        <w:tc>
          <w:tcPr>
            <w:tcW w:w="2120" w:type="dxa"/>
            <w:vAlign w:val="bottom"/>
            <w:tcBorders>
              <w:bottom w:val="single" w:sz="8" w:color="DBDBDB"/>
              <w:right w:val="single" w:sz="8" w:color="DBDBDB"/>
            </w:tcBorders>
          </w:tcPr>
          <w:p>
            <w:pPr>
              <w:spacing w:after="0"/>
              <w:rPr>
                <w:sz w:val="10"/>
                <w:szCs w:val="10"/>
                <w:color w:val="auto"/>
              </w:rPr>
            </w:pPr>
          </w:p>
        </w:tc>
      </w:tr>
    </w:tbl>
    <w:p>
      <w:pPr>
        <w:spacing w:after="0" w:line="252"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In approving the new peer group, the compensation committee considered our reported trailing 12-month revenue, as was publicly disclosed through June 2025, and 30-day average market capitalization as of June 2025, relative to the proposed peer group, as follows:</w:t>
      </w:r>
    </w:p>
    <w:p>
      <w:pPr>
        <w:spacing w:after="0" w:line="1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color w:val="auto"/>
        </w:rPr>
        <w:t>75th Percentile ($1,453)</w:t>
      </w:r>
    </w:p>
    <w:p>
      <w:pPr>
        <w:spacing w:after="0" w:line="69" w:lineRule="exact"/>
        <w:rPr>
          <w:sz w:val="20"/>
          <w:szCs w:val="20"/>
          <w:color w:val="auto"/>
        </w:rPr>
      </w:pPr>
    </w:p>
    <w:tbl>
      <w:tblPr>
        <w:tblLayout w:type="fixed"/>
        <w:tblInd w:w="2660" w:type="dxa"/>
        <w:tblCellMar>
          <w:top w:w="0" w:type="dxa"/>
          <w:left w:w="0" w:type="dxa"/>
          <w:bottom w:w="0" w:type="dxa"/>
          <w:right w:w="0" w:type="dxa"/>
        </w:tblCellMar>
      </w:tblPr>
      <w:tr>
        <w:trPr>
          <w:trHeight w:val="188"/>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FF5715"/>
              </w:rPr>
              <w:t>Root ($1,271)</w:t>
            </w:r>
          </w:p>
        </w:tc>
        <w:tc>
          <w:tcPr>
            <w:tcW w:w="30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75th Percentile ($4,401)</w:t>
            </w: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Median ($1,145)</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7"/>
        </w:trPr>
        <w:tc>
          <w:tcPr>
            <w:tcW w:w="2920" w:type="dxa"/>
            <w:vAlign w:val="bottom"/>
          </w:tcPr>
          <w:p>
            <w:pPr>
              <w:spacing w:after="0"/>
              <w:rPr>
                <w:sz w:val="24"/>
                <w:szCs w:val="24"/>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Median ($2,208)</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25th Percentile ($597)</w:t>
            </w:r>
          </w:p>
        </w:tc>
        <w:tc>
          <w:tcPr>
            <w:tcW w:w="30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FF5715"/>
              </w:rPr>
              <w:t>Root ($2,144)</w:t>
            </w:r>
          </w:p>
        </w:tc>
        <w:tc>
          <w:tcPr>
            <w:tcW w:w="0" w:type="dxa"/>
            <w:vAlign w:val="bottom"/>
          </w:tcPr>
          <w:p>
            <w:pPr>
              <w:spacing w:after="0"/>
              <w:rPr>
                <w:sz w:val="1"/>
                <w:szCs w:val="1"/>
                <w:color w:val="auto"/>
              </w:rPr>
            </w:pPr>
          </w:p>
        </w:tc>
      </w:tr>
      <w:tr>
        <w:trPr>
          <w:trHeight w:val="445"/>
        </w:trPr>
        <w:tc>
          <w:tcPr>
            <w:tcW w:w="2920" w:type="dxa"/>
            <w:vAlign w:val="bottom"/>
          </w:tcPr>
          <w:p>
            <w:pPr>
              <w:spacing w:after="0"/>
              <w:rPr>
                <w:sz w:val="24"/>
                <w:szCs w:val="24"/>
                <w:color w:val="auto"/>
              </w:rPr>
            </w:pPr>
          </w:p>
        </w:tc>
        <w:tc>
          <w:tcPr>
            <w:tcW w:w="30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25th Percentile ($1,208)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1224" w:right="1440" w:bottom="1440" w:gutter="0" w:footer="0" w:header="0"/>
          <w:type w:val="continuous"/>
        </w:sectPr>
      </w:pPr>
    </w:p>
    <w:bookmarkStart w:id="39" w:name="page40"/>
    <w:bookmarkEnd w:id="39"/>
    <w:p>
      <w:pPr>
        <w:ind w:left="300" w:right="33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To analyze the compensation practices of the companies in our compensation peer group, the compensation consultant gathered data from public filings (primarily proxy statements) of the peer group companies. This market data was then used as a reference point for the compensation committee to assess our current compensation program in the course of its deliberations on compensation forms and amounts.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Key 2025 Compensation Program Elements</w:t>
      </w:r>
    </w:p>
    <w:p>
      <w:pPr>
        <w:spacing w:after="0" w:line="21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consists of three primary elements—base salary, an annual cash incentive award opportunity and long-term incentive compensation in the form of equity awards, as displayed in the following table:</w:t>
      </w:r>
    </w:p>
    <w:p>
      <w:pPr>
        <w:spacing w:after="0" w:line="77"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1200" w:type="dxa"/>
            <w:vAlign w:val="bottom"/>
            <w:tcBorders>
              <w:bottom w:val="single" w:sz="8" w:color="FF5715"/>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3600" w:type="dxa"/>
            <w:vAlign w:val="bottom"/>
            <w:tcBorders>
              <w:bottom w:val="single" w:sz="8" w:color="FF5715"/>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620" w:type="dxa"/>
            <w:vAlign w:val="bottom"/>
            <w:tcBorders>
              <w:bottom w:val="single" w:sz="8" w:color="FF5715"/>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Design</w:t>
            </w:r>
          </w:p>
        </w:tc>
      </w:tr>
      <w:tr>
        <w:trPr>
          <w:trHeight w:val="211"/>
        </w:trPr>
        <w:tc>
          <w:tcPr>
            <w:tcW w:w="12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Base Salary</w:t>
            </w:r>
          </w:p>
        </w:tc>
        <w:tc>
          <w:tcPr>
            <w:tcW w:w="36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Fixed portion of the target annual total direct</w:t>
            </w:r>
          </w:p>
        </w:tc>
        <w:tc>
          <w:tcPr>
            <w:tcW w:w="36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Reviewed annually by the compensation</w:t>
            </w:r>
          </w:p>
        </w:tc>
      </w:tr>
      <w:tr>
        <w:trPr>
          <w:trHeight w:val="203"/>
        </w:trPr>
        <w:tc>
          <w:tcPr>
            <w:tcW w:w="1200" w:type="dxa"/>
            <w:vAlign w:val="bottom"/>
            <w:shd w:val="clear" w:color="auto" w:fill="DBDBDB"/>
          </w:tcPr>
          <w:p>
            <w:pPr>
              <w:spacing w:after="0"/>
              <w:rPr>
                <w:sz w:val="17"/>
                <w:szCs w:val="17"/>
                <w:color w:val="auto"/>
              </w:rPr>
            </w:pPr>
          </w:p>
        </w:tc>
        <w:tc>
          <w:tcPr>
            <w:tcW w:w="3600" w:type="dxa"/>
            <w:vAlign w:val="bottom"/>
            <w:shd w:val="clear" w:color="auto" w:fill="DBDBDB"/>
          </w:tcPr>
          <w:p>
            <w:pPr>
              <w:ind w:left="120"/>
              <w:spacing w:after="0" w:line="202" w:lineRule="exact"/>
              <w:rPr>
                <w:sz w:val="20"/>
                <w:szCs w:val="20"/>
                <w:color w:val="auto"/>
              </w:rPr>
            </w:pPr>
            <w:r>
              <w:rPr>
                <w:rFonts w:ascii="Times New Roman" w:cs="Times New Roman" w:eastAsia="Times New Roman" w:hAnsi="Times New Roman"/>
                <w:sz w:val="18"/>
                <w:szCs w:val="18"/>
                <w:color w:val="auto"/>
              </w:rPr>
              <w:t>compensation to attract and retain named</w:t>
            </w:r>
          </w:p>
        </w:tc>
        <w:tc>
          <w:tcPr>
            <w:tcW w:w="3620" w:type="dxa"/>
            <w:vAlign w:val="bottom"/>
            <w:shd w:val="clear" w:color="auto" w:fill="DBDBDB"/>
          </w:tcPr>
          <w:p>
            <w:pPr>
              <w:ind w:left="80"/>
              <w:spacing w:after="0" w:line="202" w:lineRule="exact"/>
              <w:rPr>
                <w:sz w:val="20"/>
                <w:szCs w:val="20"/>
                <w:color w:val="auto"/>
              </w:rPr>
            </w:pPr>
            <w:r>
              <w:rPr>
                <w:rFonts w:ascii="Times New Roman" w:cs="Times New Roman" w:eastAsia="Times New Roman" w:hAnsi="Times New Roman"/>
                <w:sz w:val="18"/>
                <w:szCs w:val="18"/>
                <w:color w:val="auto"/>
              </w:rPr>
              <w:t>committee to appropriately reflect each named</w:t>
            </w:r>
          </w:p>
        </w:tc>
      </w:tr>
      <w:tr>
        <w:trPr>
          <w:trHeight w:val="202"/>
        </w:trPr>
        <w:tc>
          <w:tcPr>
            <w:tcW w:w="1200" w:type="dxa"/>
            <w:vAlign w:val="bottom"/>
            <w:shd w:val="clear" w:color="auto" w:fill="DBDBDB"/>
          </w:tcPr>
          <w:p>
            <w:pPr>
              <w:spacing w:after="0"/>
              <w:rPr>
                <w:sz w:val="17"/>
                <w:szCs w:val="17"/>
                <w:color w:val="auto"/>
              </w:rPr>
            </w:pPr>
          </w:p>
        </w:tc>
        <w:tc>
          <w:tcPr>
            <w:tcW w:w="3600" w:type="dxa"/>
            <w:vAlign w:val="bottom"/>
            <w:shd w:val="clear" w:color="auto" w:fill="DBDBDB"/>
          </w:tcPr>
          <w:p>
            <w:pPr>
              <w:ind w:left="120"/>
              <w:spacing w:after="0" w:line="202" w:lineRule="exact"/>
              <w:rPr>
                <w:sz w:val="20"/>
                <w:szCs w:val="20"/>
                <w:color w:val="auto"/>
              </w:rPr>
            </w:pPr>
            <w:r>
              <w:rPr>
                <w:rFonts w:ascii="Times New Roman" w:cs="Times New Roman" w:eastAsia="Times New Roman" w:hAnsi="Times New Roman"/>
                <w:sz w:val="18"/>
                <w:szCs w:val="18"/>
                <w:color w:val="auto"/>
              </w:rPr>
              <w:t>executive officers</w:t>
            </w:r>
          </w:p>
        </w:tc>
        <w:tc>
          <w:tcPr>
            <w:tcW w:w="3620" w:type="dxa"/>
            <w:vAlign w:val="bottom"/>
            <w:shd w:val="clear" w:color="auto" w:fill="DBDBDB"/>
          </w:tcPr>
          <w:p>
            <w:pPr>
              <w:ind w:left="80"/>
              <w:spacing w:after="0" w:line="202" w:lineRule="exact"/>
              <w:rPr>
                <w:sz w:val="20"/>
                <w:szCs w:val="20"/>
                <w:color w:val="auto"/>
              </w:rPr>
            </w:pPr>
            <w:r>
              <w:rPr>
                <w:rFonts w:ascii="Times New Roman" w:cs="Times New Roman" w:eastAsia="Times New Roman" w:hAnsi="Times New Roman"/>
                <w:sz w:val="18"/>
                <w:szCs w:val="18"/>
                <w:color w:val="auto"/>
              </w:rPr>
              <w:t>executive officer’s scope and responsibilities in</w:t>
            </w:r>
          </w:p>
        </w:tc>
      </w:tr>
      <w:tr>
        <w:trPr>
          <w:trHeight w:val="221"/>
        </w:trPr>
        <w:tc>
          <w:tcPr>
            <w:tcW w:w="1200" w:type="dxa"/>
            <w:vAlign w:val="bottom"/>
            <w:shd w:val="clear" w:color="auto" w:fill="DBDBDB"/>
          </w:tcPr>
          <w:p>
            <w:pPr>
              <w:spacing w:after="0"/>
              <w:rPr>
                <w:sz w:val="19"/>
                <w:szCs w:val="19"/>
                <w:color w:val="auto"/>
              </w:rPr>
            </w:pPr>
          </w:p>
        </w:tc>
        <w:tc>
          <w:tcPr>
            <w:tcW w:w="3600" w:type="dxa"/>
            <w:vAlign w:val="bottom"/>
            <w:shd w:val="clear" w:color="auto" w:fill="DBDBDB"/>
          </w:tcPr>
          <w:p>
            <w:pPr>
              <w:spacing w:after="0"/>
              <w:rPr>
                <w:sz w:val="19"/>
                <w:szCs w:val="19"/>
                <w:color w:val="auto"/>
              </w:rPr>
            </w:pPr>
          </w:p>
        </w:tc>
        <w:tc>
          <w:tcPr>
            <w:tcW w:w="36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context of the external market</w:t>
            </w:r>
          </w:p>
        </w:tc>
      </w:tr>
      <w:tr>
        <w:trPr>
          <w:trHeight w:val="225"/>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Cash</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 intended to motivate achievement of</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  2025, based on the achievement of</w:t>
            </w:r>
          </w:p>
        </w:tc>
      </w:tr>
      <w:tr>
        <w:trPr>
          <w:trHeight w:val="203"/>
        </w:trPr>
        <w:tc>
          <w:tcPr>
            <w:tcW w:w="12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Incentive</w:t>
            </w:r>
          </w:p>
        </w:tc>
        <w:tc>
          <w:tcPr>
            <w:tcW w:w="36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the Company’s annual financial and operating</w:t>
            </w:r>
          </w:p>
        </w:tc>
        <w:tc>
          <w:tcPr>
            <w:tcW w:w="36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predetermined financial measures of New</w:t>
            </w:r>
          </w:p>
        </w:tc>
      </w:tr>
      <w:tr>
        <w:trPr>
          <w:trHeight w:val="234"/>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Opportunity</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goals</w:t>
            </w:r>
          </w:p>
        </w:tc>
        <w:tc>
          <w:tcPr>
            <w:tcW w:w="3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Writings and Adjusted EBITDA</w:t>
            </w:r>
          </w:p>
        </w:tc>
      </w:tr>
      <w:tr>
        <w:trPr>
          <w:trHeight w:val="135"/>
        </w:trPr>
        <w:tc>
          <w:tcPr>
            <w:tcW w:w="1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620" w:type="dxa"/>
            <w:vAlign w:val="bottom"/>
          </w:tcPr>
          <w:p>
            <w:pPr>
              <w:spacing w:after="0"/>
              <w:rPr>
                <w:sz w:val="11"/>
                <w:szCs w:val="11"/>
                <w:color w:val="auto"/>
              </w:rPr>
            </w:pPr>
          </w:p>
        </w:tc>
      </w:tr>
      <w:tr>
        <w:trPr>
          <w:trHeight w:val="225"/>
        </w:trPr>
        <w:tc>
          <w:tcPr>
            <w:tcW w:w="12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Long-Term</w:t>
            </w:r>
          </w:p>
        </w:tc>
        <w:tc>
          <w:tcPr>
            <w:tcW w:w="36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Performance and service-based equity</w:t>
            </w:r>
          </w:p>
        </w:tc>
        <w:tc>
          <w:tcPr>
            <w:tcW w:w="36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For 2025, delivered in the form of Performance</w:t>
            </w:r>
          </w:p>
        </w:tc>
      </w:tr>
      <w:tr>
        <w:trPr>
          <w:trHeight w:val="203"/>
        </w:trPr>
        <w:tc>
          <w:tcPr>
            <w:tcW w:w="1200" w:type="dxa"/>
            <w:vAlign w:val="bottom"/>
            <w:shd w:val="clear" w:color="auto" w:fill="DBDBDB"/>
          </w:tcPr>
          <w:p>
            <w:pPr>
              <w:ind w:left="60"/>
              <w:spacing w:after="0" w:line="202" w:lineRule="exact"/>
              <w:rPr>
                <w:sz w:val="20"/>
                <w:szCs w:val="20"/>
                <w:color w:val="auto"/>
              </w:rPr>
            </w:pPr>
            <w:r>
              <w:rPr>
                <w:rFonts w:ascii="Times New Roman" w:cs="Times New Roman" w:eastAsia="Times New Roman" w:hAnsi="Times New Roman"/>
                <w:sz w:val="18"/>
                <w:szCs w:val="18"/>
                <w:color w:val="auto"/>
              </w:rPr>
              <w:t>Incentive</w:t>
            </w:r>
          </w:p>
        </w:tc>
        <w:tc>
          <w:tcPr>
            <w:tcW w:w="3600" w:type="dxa"/>
            <w:vAlign w:val="bottom"/>
            <w:shd w:val="clear" w:color="auto" w:fill="DBDBDB"/>
          </w:tcPr>
          <w:p>
            <w:pPr>
              <w:ind w:left="120"/>
              <w:spacing w:after="0" w:line="202" w:lineRule="exact"/>
              <w:rPr>
                <w:sz w:val="20"/>
                <w:szCs w:val="20"/>
                <w:color w:val="auto"/>
              </w:rPr>
            </w:pPr>
            <w:r>
              <w:rPr>
                <w:rFonts w:ascii="Times New Roman" w:cs="Times New Roman" w:eastAsia="Times New Roman" w:hAnsi="Times New Roman"/>
                <w:sz w:val="18"/>
                <w:szCs w:val="18"/>
                <w:color w:val="auto"/>
              </w:rPr>
              <w:t>compensation to reward our named executive</w:t>
            </w:r>
          </w:p>
        </w:tc>
        <w:tc>
          <w:tcPr>
            <w:tcW w:w="3620" w:type="dxa"/>
            <w:vAlign w:val="bottom"/>
            <w:shd w:val="clear" w:color="auto" w:fill="DBDBDB"/>
          </w:tcPr>
          <w:p>
            <w:pPr>
              <w:ind w:left="80"/>
              <w:spacing w:after="0" w:line="202" w:lineRule="exact"/>
              <w:rPr>
                <w:sz w:val="20"/>
                <w:szCs w:val="20"/>
                <w:color w:val="auto"/>
              </w:rPr>
            </w:pPr>
            <w:r>
              <w:rPr>
                <w:rFonts w:ascii="Times New Roman" w:cs="Times New Roman" w:eastAsia="Times New Roman" w:hAnsi="Times New Roman"/>
                <w:sz w:val="18"/>
                <w:szCs w:val="18"/>
                <w:color w:val="auto"/>
              </w:rPr>
              <w:t>Share Units and based on the achievement of</w:t>
            </w:r>
          </w:p>
        </w:tc>
      </w:tr>
      <w:tr>
        <w:trPr>
          <w:trHeight w:val="203"/>
        </w:trPr>
        <w:tc>
          <w:tcPr>
            <w:tcW w:w="1200" w:type="dxa"/>
            <w:vAlign w:val="bottom"/>
            <w:shd w:val="clear" w:color="auto" w:fill="DBDBDB"/>
          </w:tcPr>
          <w:p>
            <w:pPr>
              <w:ind w:left="60"/>
              <w:spacing w:after="0" w:line="202" w:lineRule="exact"/>
              <w:rPr>
                <w:sz w:val="20"/>
                <w:szCs w:val="20"/>
                <w:color w:val="auto"/>
              </w:rPr>
            </w:pPr>
            <w:r>
              <w:rPr>
                <w:rFonts w:ascii="Times New Roman" w:cs="Times New Roman" w:eastAsia="Times New Roman" w:hAnsi="Times New Roman"/>
                <w:sz w:val="18"/>
                <w:szCs w:val="18"/>
                <w:color w:val="auto"/>
              </w:rPr>
              <w:t>Compensation</w:t>
            </w:r>
          </w:p>
        </w:tc>
        <w:tc>
          <w:tcPr>
            <w:tcW w:w="3600" w:type="dxa"/>
            <w:vAlign w:val="bottom"/>
            <w:shd w:val="clear" w:color="auto" w:fill="DBDBDB"/>
          </w:tcPr>
          <w:p>
            <w:pPr>
              <w:ind w:left="120"/>
              <w:spacing w:after="0" w:line="202" w:lineRule="exact"/>
              <w:rPr>
                <w:sz w:val="20"/>
                <w:szCs w:val="20"/>
                <w:color w:val="auto"/>
              </w:rPr>
            </w:pPr>
            <w:r>
              <w:rPr>
                <w:rFonts w:ascii="Times New Roman" w:cs="Times New Roman" w:eastAsia="Times New Roman" w:hAnsi="Times New Roman"/>
                <w:sz w:val="18"/>
                <w:szCs w:val="18"/>
                <w:color w:val="auto"/>
              </w:rPr>
              <w:t>officers for meeting or exceeding key financial</w:t>
            </w:r>
          </w:p>
        </w:tc>
        <w:tc>
          <w:tcPr>
            <w:tcW w:w="3620" w:type="dxa"/>
            <w:vAlign w:val="bottom"/>
            <w:shd w:val="clear" w:color="auto" w:fill="DBDBDB"/>
          </w:tcPr>
          <w:p>
            <w:pPr>
              <w:ind w:left="80"/>
              <w:spacing w:after="0" w:line="202" w:lineRule="exact"/>
              <w:rPr>
                <w:sz w:val="20"/>
                <w:szCs w:val="20"/>
                <w:color w:val="auto"/>
              </w:rPr>
            </w:pPr>
            <w:r>
              <w:rPr>
                <w:rFonts w:ascii="Times New Roman" w:cs="Times New Roman" w:eastAsia="Times New Roman" w:hAnsi="Times New Roman"/>
                <w:sz w:val="18"/>
                <w:szCs w:val="18"/>
                <w:color w:val="auto"/>
              </w:rPr>
              <w:t>predetermined financial measures of Policies In</w:t>
            </w:r>
          </w:p>
        </w:tc>
      </w:tr>
      <w:tr>
        <w:trPr>
          <w:trHeight w:val="203"/>
        </w:trPr>
        <w:tc>
          <w:tcPr>
            <w:tcW w:w="1200" w:type="dxa"/>
            <w:vAlign w:val="bottom"/>
            <w:shd w:val="clear" w:color="auto" w:fill="DBDBDB"/>
          </w:tcPr>
          <w:p>
            <w:pPr>
              <w:spacing w:after="0"/>
              <w:rPr>
                <w:sz w:val="17"/>
                <w:szCs w:val="17"/>
                <w:color w:val="auto"/>
              </w:rPr>
            </w:pPr>
          </w:p>
        </w:tc>
        <w:tc>
          <w:tcPr>
            <w:tcW w:w="3600" w:type="dxa"/>
            <w:vAlign w:val="bottom"/>
            <w:shd w:val="clear" w:color="auto" w:fill="DBDBDB"/>
          </w:tcPr>
          <w:p>
            <w:pPr>
              <w:ind w:left="120"/>
              <w:spacing w:after="0" w:line="202" w:lineRule="exact"/>
              <w:rPr>
                <w:sz w:val="20"/>
                <w:szCs w:val="20"/>
                <w:color w:val="auto"/>
              </w:rPr>
            </w:pPr>
            <w:r>
              <w:rPr>
                <w:rFonts w:ascii="Times New Roman" w:cs="Times New Roman" w:eastAsia="Times New Roman" w:hAnsi="Times New Roman"/>
                <w:sz w:val="18"/>
                <w:szCs w:val="18"/>
                <w:color w:val="auto"/>
              </w:rPr>
              <w:t>objectives and to help align compensation with</w:t>
            </w:r>
          </w:p>
        </w:tc>
        <w:tc>
          <w:tcPr>
            <w:tcW w:w="3620" w:type="dxa"/>
            <w:vAlign w:val="bottom"/>
            <w:shd w:val="clear" w:color="auto" w:fill="DBDBDB"/>
          </w:tcPr>
          <w:p>
            <w:pPr>
              <w:ind w:left="80"/>
              <w:spacing w:after="0" w:line="202" w:lineRule="exact"/>
              <w:rPr>
                <w:sz w:val="20"/>
                <w:szCs w:val="20"/>
                <w:color w:val="auto"/>
              </w:rPr>
            </w:pPr>
            <w:r>
              <w:rPr>
                <w:rFonts w:ascii="Times New Roman" w:cs="Times New Roman" w:eastAsia="Times New Roman" w:hAnsi="Times New Roman"/>
                <w:sz w:val="18"/>
                <w:szCs w:val="18"/>
                <w:color w:val="auto"/>
              </w:rPr>
              <w:t>Force and Gross Accident Period Loss Ratio</w:t>
            </w:r>
          </w:p>
        </w:tc>
      </w:tr>
      <w:tr>
        <w:trPr>
          <w:trHeight w:val="234"/>
        </w:trPr>
        <w:tc>
          <w:tcPr>
            <w:tcW w:w="1200" w:type="dxa"/>
            <w:vAlign w:val="bottom"/>
            <w:shd w:val="clear" w:color="auto" w:fill="DBDBDB"/>
          </w:tcPr>
          <w:p>
            <w:pPr>
              <w:spacing w:after="0"/>
              <w:rPr>
                <w:sz w:val="20"/>
                <w:szCs w:val="20"/>
                <w:color w:val="auto"/>
              </w:rPr>
            </w:pPr>
          </w:p>
        </w:tc>
        <w:tc>
          <w:tcPr>
            <w:tcW w:w="3600" w:type="dxa"/>
            <w:vAlign w:val="bottom"/>
            <w:shd w:val="clear" w:color="auto" w:fill="DBDBDB"/>
          </w:tcPr>
          <w:p>
            <w:pPr>
              <w:ind w:left="120"/>
              <w:spacing w:after="0"/>
              <w:rPr>
                <w:sz w:val="20"/>
                <w:szCs w:val="20"/>
                <w:color w:val="auto"/>
              </w:rPr>
            </w:pPr>
            <w:r>
              <w:rPr>
                <w:rFonts w:ascii="Times New Roman" w:cs="Times New Roman" w:eastAsia="Times New Roman" w:hAnsi="Times New Roman"/>
                <w:sz w:val="18"/>
                <w:szCs w:val="18"/>
                <w:color w:val="auto"/>
              </w:rPr>
              <w:t>stockholder value</w:t>
            </w:r>
          </w:p>
        </w:tc>
        <w:tc>
          <w:tcPr>
            <w:tcW w:w="362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8"/>
                <w:szCs w:val="18"/>
                <w:color w:val="auto"/>
              </w:rPr>
              <w:t>over a three-year performance period</w:t>
            </w:r>
          </w:p>
        </w:tc>
      </w:tr>
      <w:tr>
        <w:trPr>
          <w:trHeight w:val="27"/>
        </w:trPr>
        <w:tc>
          <w:tcPr>
            <w:tcW w:w="1200" w:type="dxa"/>
            <w:vAlign w:val="bottom"/>
            <w:shd w:val="clear" w:color="auto" w:fill="DBDBDB"/>
          </w:tcPr>
          <w:p>
            <w:pPr>
              <w:spacing w:after="0"/>
              <w:rPr>
                <w:sz w:val="2"/>
                <w:szCs w:val="2"/>
                <w:color w:val="auto"/>
              </w:rPr>
            </w:pPr>
          </w:p>
        </w:tc>
        <w:tc>
          <w:tcPr>
            <w:tcW w:w="3600" w:type="dxa"/>
            <w:vAlign w:val="bottom"/>
            <w:shd w:val="clear" w:color="auto" w:fill="DBDBDB"/>
          </w:tcPr>
          <w:p>
            <w:pPr>
              <w:spacing w:after="0"/>
              <w:rPr>
                <w:sz w:val="2"/>
                <w:szCs w:val="2"/>
                <w:color w:val="auto"/>
              </w:rPr>
            </w:pPr>
          </w:p>
        </w:tc>
        <w:tc>
          <w:tcPr>
            <w:tcW w:w="3620" w:type="dxa"/>
            <w:vAlign w:val="bottom"/>
            <w:shd w:val="clear" w:color="auto" w:fill="DBDBDB"/>
          </w:tcPr>
          <w:p>
            <w:pPr>
              <w:spacing w:after="0"/>
              <w:rPr>
                <w:sz w:val="2"/>
                <w:szCs w:val="2"/>
                <w:color w:val="auto"/>
              </w:rPr>
            </w:pPr>
          </w:p>
        </w:tc>
      </w:tr>
    </w:tbl>
    <w:p>
      <w:pPr>
        <w:spacing w:after="0" w:line="27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A substantial portion of the target annual total direct compensation for our named executive officers is variable and “at risk” and subject to Company and/or individual performance. The following exhibits display the CEO’s and other NEOs’ average pay mix for 2025, where 90% of the CEO’s and, on average, 86% of other NEOs’, target annual total direct compensation was considered performance-based and “at risk.”</w:t>
      </w:r>
    </w:p>
    <w:p>
      <w:pPr>
        <w:spacing w:after="0" w:line="2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At Risk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At Risk Compensation</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19"/>
          </w:cols>
          <w:pgMar w:left="1440" w:top="1228" w:right="1440" w:bottom="1440" w:gutter="0" w:footer="0" w:header="0"/>
          <w:type w:val="continuous"/>
        </w:sectPr>
      </w:pPr>
    </w:p>
    <w:bookmarkStart w:id="40" w:name="page41"/>
    <w:bookmarkEnd w:id="40"/>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Base Salary</w:t>
      </w:r>
    </w:p>
    <w:p>
      <w:pPr>
        <w:spacing w:after="0" w:line="273"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Base salary represents the fixed portion of the target annual total direct compensation of our named executive officers. The base salary is intended to be market competitive but also is intended to generally reflect the named executive officer’s scope of responsibilities, experience, and performance over time. For 2025, as part of its annual compensation review, the compensation committee reviewed the 2024 base salaries of our named executive officers. The compensation committee determined that Mr. Timm’s, Mr. Bonakdarpour’s, and Mr. Allison’s current base salaries were appropriate and consistent with the competitive market and no adjustments were made in 2025, while approving an increase to Ms. Binkley’s base salary to align with the competitive market. Our named executive officers’ annual base salaries for 2024 and 2025 were as follows: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218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20" w:type="dxa"/>
            <w:vAlign w:val="bottom"/>
            <w:tcBorders>
              <w:bottom w:val="single" w:sz="8" w:color="FF5715"/>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2024 Base Salary</w:t>
            </w:r>
          </w:p>
        </w:tc>
        <w:tc>
          <w:tcPr>
            <w:tcW w:w="1860" w:type="dxa"/>
            <w:vAlign w:val="bottom"/>
            <w:tcBorders>
              <w:bottom w:val="single" w:sz="8" w:color="FF5715"/>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 xml:space="preserve">2025 Base Salary </w:t>
            </w:r>
            <w:r>
              <w:rPr>
                <w:rFonts w:ascii="Times New Roman" w:cs="Times New Roman" w:eastAsia="Times New Roman" w:hAnsi="Times New Roman"/>
                <w:sz w:val="23"/>
                <w:szCs w:val="23"/>
                <w:b w:val="1"/>
                <w:bCs w:val="1"/>
                <w:color w:val="auto"/>
                <w:w w:val="96"/>
                <w:vertAlign w:val="superscript"/>
              </w:rPr>
              <w:t>(1)</w:t>
            </w:r>
          </w:p>
        </w:tc>
        <w:tc>
          <w:tcPr>
            <w:tcW w:w="1960" w:type="dxa"/>
            <w:vAlign w:val="bottom"/>
            <w:tcBorders>
              <w:bottom w:val="single" w:sz="8" w:color="FF5715"/>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 in Base Salary</w:t>
            </w:r>
          </w:p>
        </w:tc>
      </w:tr>
      <w:tr>
        <w:trPr>
          <w:trHeight w:val="243"/>
        </w:trPr>
        <w:tc>
          <w:tcPr>
            <w:tcW w:w="21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 Timm</w:t>
            </w:r>
          </w:p>
        </w:tc>
        <w:tc>
          <w:tcPr>
            <w:tcW w:w="2420" w:type="dxa"/>
            <w:vAlign w:val="bottom"/>
            <w:shd w:val="clear" w:color="auto" w:fill="DBDBDB"/>
          </w:tcPr>
          <w:p>
            <w:pPr>
              <w:jc w:val="center"/>
              <w:ind w:left="550"/>
              <w:spacing w:after="0"/>
              <w:rPr>
                <w:sz w:val="20"/>
                <w:szCs w:val="20"/>
                <w:color w:val="auto"/>
              </w:rPr>
            </w:pPr>
            <w:r>
              <w:rPr>
                <w:rFonts w:ascii="Times New Roman" w:cs="Times New Roman" w:eastAsia="Times New Roman" w:hAnsi="Times New Roman"/>
                <w:sz w:val="18"/>
                <w:szCs w:val="18"/>
                <w:color w:val="auto"/>
                <w:w w:val="97"/>
              </w:rPr>
              <w:t>$750,000</w:t>
            </w:r>
          </w:p>
        </w:tc>
        <w:tc>
          <w:tcPr>
            <w:tcW w:w="1860" w:type="dxa"/>
            <w:vAlign w:val="bottom"/>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rPr>
              <w:t>$750,000</w:t>
            </w:r>
          </w:p>
        </w:tc>
        <w:tc>
          <w:tcPr>
            <w:tcW w:w="1960" w:type="dxa"/>
            <w:vAlign w:val="bottom"/>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 Binkley</w:t>
            </w:r>
          </w:p>
        </w:tc>
        <w:tc>
          <w:tcPr>
            <w:tcW w:w="24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$459,000</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56"/>
        </w:trPr>
        <w:tc>
          <w:tcPr>
            <w:tcW w:w="21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M. Bonakdarpour</w:t>
            </w:r>
          </w:p>
        </w:tc>
        <w:tc>
          <w:tcPr>
            <w:tcW w:w="2420" w:type="dxa"/>
            <w:vAlign w:val="bottom"/>
            <w:shd w:val="clear" w:color="auto" w:fill="DBDBDB"/>
          </w:tcPr>
          <w:p>
            <w:pPr>
              <w:jc w:val="center"/>
              <w:ind w:left="550"/>
              <w:spacing w:after="0"/>
              <w:rPr>
                <w:sz w:val="20"/>
                <w:szCs w:val="20"/>
                <w:color w:val="auto"/>
              </w:rPr>
            </w:pPr>
            <w:r>
              <w:rPr>
                <w:rFonts w:ascii="Times New Roman" w:cs="Times New Roman" w:eastAsia="Times New Roman" w:hAnsi="Times New Roman"/>
                <w:sz w:val="18"/>
                <w:szCs w:val="18"/>
                <w:color w:val="auto"/>
                <w:w w:val="97"/>
              </w:rPr>
              <w:t>$550,000</w:t>
            </w:r>
          </w:p>
        </w:tc>
        <w:tc>
          <w:tcPr>
            <w:tcW w:w="1860" w:type="dxa"/>
            <w:vAlign w:val="bottom"/>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rPr>
              <w:t>$550,000</w:t>
            </w:r>
          </w:p>
        </w:tc>
        <w:tc>
          <w:tcPr>
            <w:tcW w:w="1960" w:type="dxa"/>
            <w:vAlign w:val="bottom"/>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 Allison</w:t>
            </w:r>
          </w:p>
        </w:tc>
        <w:tc>
          <w:tcPr>
            <w:tcW w:w="24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$520,000</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$520,000</w:t>
            </w:r>
          </w:p>
        </w:tc>
        <w:tc>
          <w:tcPr>
            <w:tcW w:w="1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ind w:left="620" w:hanging="328"/>
        <w:spacing w:after="0"/>
        <w:tabs>
          <w:tab w:leader="none" w:pos="6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Binkley’s base salary increase was effective April 30, 2025.</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2025 Annual Cash Incentive Program</w:t>
      </w:r>
    </w:p>
    <w:p>
      <w:pPr>
        <w:spacing w:after="0" w:line="273"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Our named executive officers participate in our annual cash incentive award program, which is intended to motivate our named executive officers to contribute to the achievement of Root’s annual financial and operating goals. For 2025, as part of its annual review of our executive compensation program, the compensation committee approved the Root, Inc. 2025 Short-Term Incentive Plan (the “ 2025 STI Plan”). Our compensation committee selects the performance measures and sets target performance levels for the annual cash incentive award program that align with the achievement of our financial and operational goals, with above-target payouts designed for exceeding the target performance goals and below-target payouts, or no payouts, when the goals are not achieved.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Target Annual Cash Incentive Award Opportunities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participant in the  2025 STI Plan, including each of the named executive officers, was eligible to receive a</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annual cash incentive award opportunity, expressed as a percentage of his or her annual base salary. For 2025,</w:t>
            </w:r>
          </w:p>
        </w:tc>
      </w:tr>
      <w:tr>
        <w:trPr>
          <w:trHeight w:val="22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part of its executive compensation review prepared by its compensation consultant, the compensation committee</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reviewed the 2025 STI Plan targets of our named executive officers. Upon this review, the compensation committee</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determined that the target annual cash incentive award opportunities for each of the named executive officers were</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appropriate and consistent with the competitive market and thus required no change. The</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target annual cash</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award opportunities of our named executive officers under the 2025 STI Plan are set forth in the following</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table:</w:t>
            </w:r>
          </w:p>
        </w:tc>
        <w:tc>
          <w:tcPr>
            <w:tcW w:w="1900" w:type="dxa"/>
            <w:vAlign w:val="bottom"/>
          </w:tcPr>
          <w:p>
            <w:pPr>
              <w:spacing w:after="0"/>
              <w:rPr>
                <w:sz w:val="20"/>
                <w:szCs w:val="20"/>
                <w:color w:val="auto"/>
              </w:rPr>
            </w:pPr>
          </w:p>
        </w:tc>
      </w:tr>
    </w:tbl>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2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2024 Target Annual Incentive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Target Annual Incentive</w:t>
            </w:r>
          </w:p>
        </w:tc>
      </w:tr>
      <w:tr>
        <w:trPr>
          <w:trHeight w:val="236"/>
        </w:trPr>
        <w:tc>
          <w:tcPr>
            <w:tcW w:w="2200" w:type="dxa"/>
            <w:vAlign w:val="bottom"/>
            <w:tcBorders>
              <w:bottom w:val="single" w:sz="8" w:color="FF5715"/>
            </w:tcBorders>
          </w:tcPr>
          <w:p>
            <w:pPr>
              <w:spacing w:after="0"/>
              <w:rPr>
                <w:sz w:val="20"/>
                <w:szCs w:val="20"/>
                <w:color w:val="auto"/>
              </w:rPr>
            </w:pPr>
          </w:p>
        </w:tc>
        <w:tc>
          <w:tcPr>
            <w:tcW w:w="3520" w:type="dxa"/>
            <w:vAlign w:val="bottom"/>
            <w:tcBorders>
              <w:bottom w:val="single" w:sz="8" w:color="FF5715"/>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Opportunity as % of Base Salary</w:t>
            </w:r>
          </w:p>
        </w:tc>
        <w:tc>
          <w:tcPr>
            <w:tcW w:w="27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 as % of Base Salary</w:t>
            </w:r>
          </w:p>
        </w:tc>
      </w:tr>
      <w:tr>
        <w:trPr>
          <w:trHeight w:val="243"/>
        </w:trPr>
        <w:tc>
          <w:tcPr>
            <w:tcW w:w="22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 Timm</w:t>
            </w:r>
          </w:p>
        </w:tc>
        <w:tc>
          <w:tcPr>
            <w:tcW w:w="3520" w:type="dxa"/>
            <w:vAlign w:val="bottom"/>
            <w:shd w:val="clear" w:color="auto" w:fill="DBDBDB"/>
          </w:tcPr>
          <w:p>
            <w:pPr>
              <w:jc w:val="center"/>
              <w:ind w:left="730"/>
              <w:spacing w:after="0"/>
              <w:rPr>
                <w:sz w:val="20"/>
                <w:szCs w:val="20"/>
                <w:color w:val="auto"/>
              </w:rPr>
            </w:pPr>
            <w:r>
              <w:rPr>
                <w:rFonts w:ascii="Times New Roman" w:cs="Times New Roman" w:eastAsia="Times New Roman" w:hAnsi="Times New Roman"/>
                <w:sz w:val="18"/>
                <w:szCs w:val="18"/>
                <w:color w:val="auto"/>
                <w:w w:val="99"/>
              </w:rPr>
              <w:t>150%</w:t>
            </w:r>
          </w:p>
        </w:tc>
        <w:tc>
          <w:tcPr>
            <w:tcW w:w="2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56"/>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 Binkley</w:t>
            </w:r>
          </w:p>
        </w:tc>
        <w:tc>
          <w:tcPr>
            <w:tcW w:w="35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75%</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r>
      <w:tr>
        <w:trPr>
          <w:trHeight w:val="257"/>
        </w:trPr>
        <w:tc>
          <w:tcPr>
            <w:tcW w:w="22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M. Bonakdarpour</w:t>
            </w:r>
          </w:p>
        </w:tc>
        <w:tc>
          <w:tcPr>
            <w:tcW w:w="3520" w:type="dxa"/>
            <w:vAlign w:val="bottom"/>
            <w:shd w:val="clear" w:color="auto" w:fill="DBDBDB"/>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c>
          <w:tcPr>
            <w:tcW w:w="2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2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 Allison</w:t>
            </w:r>
          </w:p>
        </w:tc>
        <w:tc>
          <w:tcPr>
            <w:tcW w:w="35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Annual Cash Incentive Performance Award Measures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selected a performance matrix composed of  New Writings and Adjusted EBITDA as</w:t>
      </w:r>
    </w:p>
    <w:p>
      <w:pPr>
        <w:spacing w:after="0" w:line="27" w:lineRule="exact"/>
        <w:rPr>
          <w:sz w:val="20"/>
          <w:szCs w:val="20"/>
          <w:color w:val="auto"/>
        </w:rPr>
      </w:pPr>
    </w:p>
    <w:p>
      <w:pPr>
        <w:ind w:left="300" w:right="399"/>
        <w:spacing w:after="0" w:line="260" w:lineRule="auto"/>
        <w:rPr>
          <w:sz w:val="20"/>
          <w:szCs w:val="20"/>
          <w:color w:val="auto"/>
        </w:rPr>
      </w:pPr>
      <w:r>
        <w:rPr>
          <w:rFonts w:ascii="Times New Roman" w:cs="Times New Roman" w:eastAsia="Times New Roman" w:hAnsi="Times New Roman"/>
          <w:sz w:val="18"/>
          <w:szCs w:val="18"/>
          <w:color w:val="auto"/>
        </w:rPr>
        <w:t>the Company-wide performance measures to be used to assess achievement of 2025 priorities and performance under the 2025 STI Plan . The matrix balanced the performance between the two measures to incentivize the</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215" w:right="1440" w:bottom="1440" w:gutter="0" w:footer="0" w:header="0"/>
          <w:type w:val="continuous"/>
        </w:sectPr>
      </w:pPr>
    </w:p>
    <w:bookmarkStart w:id="41" w:name="page42"/>
    <w:bookmarkEnd w:id="41"/>
    <w:p>
      <w:pPr>
        <w:ind w:left="300" w:right="359"/>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continuous focus on profitable growth, while allowing for agile strategy changes in the event of adverse competitive market shifts. The matrix consisted of the New Writings performance measure along one axis and Adjusted</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EBITDA along the other axis with each combination corresponding to a funding percentage. In setting the combination of New Writings and Adjusted EBITDA that represented the target funding, the committee considered the prior-year actual performance along with the 2025 plan. The level of New Writings performance that represented the target-level funding was set above the prior year actual, while the maximum level of New Writings performance on the matrix called for almost doubling of prior-year actual performance achievement. In light of the above target-level plan achievement in the prior year and increased competition in the insurance marketplace, the level of Adjusted EBITDA performance that represented the target-level funding was set below the prior year actual performance, while the maximum level of Adjusted EBITDA performance on the matrix called for doubling of prior year actual performance achievement. Our named executive officers had the opportunity to achieve a payout of up to 300% of their target annual cash incentive award opportunity based on our actual achievement compared to the pre-established targets for these performance measures, with payouts above 200% of target reserved for exceptional performance.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the 2025 STI Plan:</w:t>
      </w:r>
    </w:p>
    <w:p>
      <w:pPr>
        <w:spacing w:after="0" w:line="158" w:lineRule="exact"/>
        <w:rPr>
          <w:sz w:val="20"/>
          <w:szCs w:val="20"/>
          <w:color w:val="auto"/>
        </w:rPr>
      </w:pPr>
    </w:p>
    <w:p>
      <w:pPr>
        <w:ind w:left="620" w:right="319" w:hanging="328"/>
        <w:spacing w:after="0" w:line="261"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Writings” is defined as the count of new policies written based on the initial (term 1) policy effective date in the calendar period 2025. Rewrites from previously canceled policies are considered. This metric is the best measure of company growth, unaffected by offsets. New Writings are inclusive of direct and partnership acquisition channels, and</w:t>
      </w:r>
    </w:p>
    <w:p>
      <w:pPr>
        <w:spacing w:after="0" w:line="220" w:lineRule="exact"/>
        <w:rPr>
          <w:rFonts w:ascii="Times New Roman" w:cs="Times New Roman" w:eastAsia="Times New Roman" w:hAnsi="Times New Roman"/>
          <w:sz w:val="18"/>
          <w:szCs w:val="18"/>
          <w:color w:val="auto"/>
        </w:rPr>
      </w:pPr>
    </w:p>
    <w:p>
      <w:pPr>
        <w:ind w:left="620" w:right="339" w:hanging="328"/>
        <w:spacing w:after="0" w:line="270" w:lineRule="auto"/>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 non-GAAP financial measure, is defined as net income (loss) excluding interest expense, income tax expense, depreciation and amortization, share-based compensation, loss on extinguishment of debt, warrant compensation expense, restructuring charges, legal fees and other items that do not reflect our ongoing operating performance. For 2025, also excluding incremental short-term incentive payouts above target and expense related to additional short-term incentive eligibility for employees.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under GAAP, and other companies may define Adjusted EBITDA differently.</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Cash Incentive Award Payouts</w:t>
            </w:r>
          </w:p>
        </w:tc>
        <w:tc>
          <w:tcPr>
            <w:tcW w:w="460" w:type="dxa"/>
            <w:vAlign w:val="bottom"/>
          </w:tcPr>
          <w:p>
            <w:pPr>
              <w:spacing w:after="0"/>
              <w:rPr>
                <w:sz w:val="20"/>
                <w:szCs w:val="20"/>
                <w:color w:val="auto"/>
              </w:rPr>
            </w:pPr>
          </w:p>
        </w:tc>
      </w:tr>
      <w:tr>
        <w:trPr>
          <w:trHeight w:val="387"/>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February 2026, the compensation committee assessed the performance against the predetermined matrix of New</w:t>
            </w:r>
          </w:p>
        </w:tc>
      </w:tr>
      <w:tr>
        <w:trPr>
          <w:trHeight w:val="203"/>
        </w:trPr>
        <w:tc>
          <w:tcPr>
            <w:tcW w:w="84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Writings and Adjusted EBITDA in the 2025 STI Plan. The compensation committee first measured the performance</w:t>
            </w:r>
          </w:p>
        </w:tc>
      </w:tr>
      <w:tr>
        <w:trPr>
          <w:trHeight w:val="203"/>
        </w:trPr>
        <w:tc>
          <w:tcPr>
            <w:tcW w:w="7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 actual  2025 New Writings and Adjusted EBITDA and determined that per the plan design the matrix</w:t>
            </w:r>
          </w:p>
        </w:tc>
        <w:tc>
          <w:tcPr>
            <w:tcW w:w="460" w:type="dxa"/>
            <w:vAlign w:val="bottom"/>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corresponded to 213% of target funding. After discussions with management and considering the guiding principle</w:t>
            </w:r>
          </w:p>
        </w:tc>
      </w:tr>
      <w:tr>
        <w:trPr>
          <w:trHeight w:val="203"/>
        </w:trPr>
        <w:tc>
          <w:tcPr>
            <w:tcW w:w="7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under the 2025 STI Plan that payouts above 200% should occur only in the case of exceptional performance</w:t>
            </w:r>
          </w:p>
        </w:tc>
        <w:tc>
          <w:tcPr>
            <w:tcW w:w="4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w w:val="96"/>
              </w:rPr>
              <w:t>, the</w:t>
            </w:r>
          </w:p>
        </w:tc>
      </w:tr>
      <w:tr>
        <w:trPr>
          <w:trHeight w:val="203"/>
        </w:trPr>
        <w:tc>
          <w:tcPr>
            <w:tcW w:w="84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compensation committee decided to exercise downward discretion to fund payouts at 150% of target  in light of our</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total stockholder return and to calibrate pay outcomes with its broad assessment of Company performance for</w:t>
            </w:r>
          </w:p>
        </w:tc>
      </w:tr>
      <w:tr>
        <w:trPr>
          <w:trHeight w:val="23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year. Accordingly, the named executive officers received the following cash payouts under the 2025 STI Plan:</w:t>
            </w:r>
          </w:p>
        </w:tc>
      </w:tr>
    </w:tbl>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26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Target Annual</w:t>
            </w: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6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of Target</w:t>
            </w:r>
          </w:p>
        </w:tc>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Payout $</w:t>
            </w:r>
          </w:p>
        </w:tc>
      </w:tr>
      <w:tr>
        <w:trPr>
          <w:trHeight w:val="218"/>
        </w:trPr>
        <w:tc>
          <w:tcPr>
            <w:tcW w:w="256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40" w:type="dxa"/>
            <w:vAlign w:val="bottom"/>
            <w:tcBorders>
              <w:bottom w:val="single" w:sz="8" w:color="FF5715"/>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c>
          <w:tcPr>
            <w:tcW w:w="1520" w:type="dxa"/>
            <w:vAlign w:val="bottom"/>
            <w:tcBorders>
              <w:bottom w:val="single" w:sz="8" w:color="FF5715"/>
            </w:tcBorders>
          </w:tcPr>
          <w:p>
            <w:pPr>
              <w:spacing w:after="0"/>
              <w:rPr>
                <w:sz w:val="18"/>
                <w:szCs w:val="18"/>
                <w:color w:val="auto"/>
              </w:rPr>
            </w:pPr>
          </w:p>
        </w:tc>
        <w:tc>
          <w:tcPr>
            <w:tcW w:w="1680" w:type="dxa"/>
            <w:vAlign w:val="bottom"/>
            <w:tcBorders>
              <w:bottom w:val="single" w:sz="8" w:color="FF5715"/>
            </w:tcBorders>
          </w:tcPr>
          <w:p>
            <w:pPr>
              <w:spacing w:after="0"/>
              <w:rPr>
                <w:sz w:val="18"/>
                <w:szCs w:val="18"/>
                <w:color w:val="auto"/>
              </w:rPr>
            </w:pPr>
          </w:p>
        </w:tc>
      </w:tr>
      <w:tr>
        <w:trPr>
          <w:trHeight w:val="243"/>
        </w:trPr>
        <w:tc>
          <w:tcPr>
            <w:tcW w:w="256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 Timm</w:t>
            </w:r>
          </w:p>
        </w:tc>
        <w:tc>
          <w:tcPr>
            <w:tcW w:w="2640" w:type="dxa"/>
            <w:vAlign w:val="bottom"/>
            <w:shd w:val="clear" w:color="auto" w:fill="DBDBDB"/>
          </w:tcPr>
          <w:p>
            <w:pPr>
              <w:jc w:val="center"/>
              <w:ind w:left="870"/>
              <w:spacing w:after="0"/>
              <w:rPr>
                <w:sz w:val="20"/>
                <w:szCs w:val="20"/>
                <w:color w:val="auto"/>
              </w:rPr>
            </w:pPr>
            <w:r>
              <w:rPr>
                <w:rFonts w:ascii="Times New Roman" w:cs="Times New Roman" w:eastAsia="Times New Roman" w:hAnsi="Times New Roman"/>
                <w:sz w:val="18"/>
                <w:szCs w:val="18"/>
                <w:color w:val="auto"/>
                <w:w w:val="98"/>
              </w:rPr>
              <w:t>$1,125,000</w:t>
            </w:r>
          </w:p>
        </w:tc>
        <w:tc>
          <w:tcPr>
            <w:tcW w:w="15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680" w:type="dxa"/>
            <w:vAlign w:val="bottom"/>
            <w:shd w:val="clear" w:color="auto" w:fill="DBDBDB"/>
          </w:tcPr>
          <w:p>
            <w:pPr>
              <w:jc w:val="center"/>
              <w:ind w:left="30"/>
              <w:spacing w:after="0"/>
              <w:rPr>
                <w:sz w:val="20"/>
                <w:szCs w:val="20"/>
                <w:color w:val="auto"/>
              </w:rPr>
            </w:pPr>
            <w:r>
              <w:rPr>
                <w:rFonts w:ascii="Times New Roman" w:cs="Times New Roman" w:eastAsia="Times New Roman" w:hAnsi="Times New Roman"/>
                <w:sz w:val="18"/>
                <w:szCs w:val="18"/>
                <w:color w:val="auto"/>
                <w:w w:val="98"/>
              </w:rPr>
              <w:t>$1,687,500</w:t>
            </w:r>
          </w:p>
        </w:tc>
      </w:tr>
      <w:tr>
        <w:trPr>
          <w:trHeight w:val="257"/>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 Binkley</w:t>
            </w:r>
          </w:p>
        </w:tc>
        <w:tc>
          <w:tcPr>
            <w:tcW w:w="26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$375,000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$562,500</w:t>
            </w:r>
          </w:p>
        </w:tc>
      </w:tr>
      <w:tr>
        <w:trPr>
          <w:trHeight w:val="256"/>
        </w:trPr>
        <w:tc>
          <w:tcPr>
            <w:tcW w:w="256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M. Bonakdarpour</w:t>
            </w:r>
          </w:p>
        </w:tc>
        <w:tc>
          <w:tcPr>
            <w:tcW w:w="2640" w:type="dxa"/>
            <w:vAlign w:val="bottom"/>
            <w:shd w:val="clear" w:color="auto" w:fill="DBDBDB"/>
          </w:tcPr>
          <w:p>
            <w:pPr>
              <w:jc w:val="center"/>
              <w:ind w:left="870"/>
              <w:spacing w:after="0"/>
              <w:rPr>
                <w:sz w:val="20"/>
                <w:szCs w:val="20"/>
                <w:color w:val="auto"/>
              </w:rPr>
            </w:pPr>
            <w:r>
              <w:rPr>
                <w:rFonts w:ascii="Times New Roman" w:cs="Times New Roman" w:eastAsia="Times New Roman" w:hAnsi="Times New Roman"/>
                <w:sz w:val="18"/>
                <w:szCs w:val="18"/>
                <w:color w:val="auto"/>
              </w:rPr>
              <w:t>$550,000</w:t>
            </w:r>
          </w:p>
        </w:tc>
        <w:tc>
          <w:tcPr>
            <w:tcW w:w="15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680" w:type="dxa"/>
            <w:vAlign w:val="bottom"/>
            <w:shd w:val="clear" w:color="auto" w:fill="DBDBDB"/>
          </w:tcPr>
          <w:p>
            <w:pPr>
              <w:jc w:val="center"/>
              <w:ind w:left="30"/>
              <w:spacing w:after="0"/>
              <w:rPr>
                <w:sz w:val="20"/>
                <w:szCs w:val="20"/>
                <w:color w:val="auto"/>
              </w:rPr>
            </w:pPr>
            <w:r>
              <w:rPr>
                <w:rFonts w:ascii="Times New Roman" w:cs="Times New Roman" w:eastAsia="Times New Roman" w:hAnsi="Times New Roman"/>
                <w:sz w:val="18"/>
                <w:szCs w:val="18"/>
                <w:color w:val="auto"/>
              </w:rPr>
              <w:t>$825,000</w:t>
            </w:r>
          </w:p>
        </w:tc>
      </w:tr>
      <w:tr>
        <w:trPr>
          <w:trHeight w:val="270"/>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 Allison</w:t>
            </w:r>
          </w:p>
        </w:tc>
        <w:tc>
          <w:tcPr>
            <w:tcW w:w="26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$520,000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$780,000</w:t>
            </w:r>
          </w:p>
        </w:tc>
      </w:tr>
    </w:tbl>
    <w:p>
      <w:pPr>
        <w:spacing w:after="0" w:line="200" w:lineRule="exact"/>
        <w:rPr>
          <w:sz w:val="20"/>
          <w:szCs w:val="20"/>
          <w:color w:val="auto"/>
        </w:rPr>
      </w:pP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019"/>
          </w:cols>
          <w:pgMar w:left="1440" w:top="1228" w:right="1440" w:bottom="1440" w:gutter="0" w:footer="0" w:header="0"/>
          <w:type w:val="continuous"/>
        </w:sectPr>
      </w:pPr>
    </w:p>
    <w:bookmarkStart w:id="42" w:name="page43"/>
    <w:bookmarkEnd w:id="42"/>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Long-Term Incentives</w:t>
      </w:r>
    </w:p>
    <w:p>
      <w:pPr>
        <w:spacing w:after="0" w:line="179" w:lineRule="exact"/>
        <w:rPr>
          <w:sz w:val="20"/>
          <w:szCs w:val="20"/>
          <w:color w:val="auto"/>
        </w:rPr>
      </w:pPr>
    </w:p>
    <w:p>
      <w:pPr>
        <w:ind w:left="300" w:right="459"/>
        <w:spacing w:after="0" w:line="257" w:lineRule="auto"/>
        <w:rPr>
          <w:sz w:val="20"/>
          <w:szCs w:val="20"/>
          <w:color w:val="auto"/>
        </w:rPr>
      </w:pPr>
      <w:r>
        <w:rPr>
          <w:rFonts w:ascii="Times New Roman" w:cs="Times New Roman" w:eastAsia="Times New Roman" w:hAnsi="Times New Roman"/>
          <w:sz w:val="18"/>
          <w:szCs w:val="18"/>
          <w:color w:val="auto"/>
        </w:rPr>
        <w:t>We believe that a significant component of our target annual total direct compensation opportunities for our named executive officers should be target long-term incentive compensation in the form of equity awards. The compensation committee has the ability to grant, and has previously granted, equity awards to named executive</w:t>
      </w:r>
    </w:p>
    <w:p>
      <w:pPr>
        <w:spacing w:after="0" w:line="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officers in the form of stock options, restricted stock units (“RSUs”) and PSUs. Equity awards represent an opportunity to realize value based on long-term stock price performance, and they serve as a tool to reward and help retain our named executive officers.</w:t>
      </w:r>
    </w:p>
    <w:p>
      <w:pPr>
        <w:spacing w:after="0" w:line="132" w:lineRule="exact"/>
        <w:rPr>
          <w:sz w:val="20"/>
          <w:szCs w:val="20"/>
          <w:color w:val="auto"/>
        </w:rPr>
      </w:pPr>
    </w:p>
    <w:p>
      <w:pPr>
        <w:ind w:left="300" w:right="359"/>
        <w:spacing w:after="0" w:line="244" w:lineRule="auto"/>
        <w:rPr>
          <w:sz w:val="20"/>
          <w:szCs w:val="20"/>
          <w:color w:val="auto"/>
        </w:rPr>
      </w:pPr>
      <w:r>
        <w:rPr>
          <w:rFonts w:ascii="Times New Roman" w:cs="Times New Roman" w:eastAsia="Times New Roman" w:hAnsi="Times New Roman"/>
          <w:sz w:val="18"/>
          <w:szCs w:val="18"/>
          <w:color w:val="auto"/>
        </w:rPr>
        <w:t>As a result of its 2025 compensation review, the compensation committee granted equity awards to our named executive officers in the form of PSUs (“ 2025 PSUs”) using a redesigned structure that measured performance over three years. The 2025 PSUs, which were granted in May 2025, may be earned depending on achievement of goals related to a Gross Accident Period Loss Ratio and Policies In Force goal matrix. The overall performance period begins on January 1, 2025 and ends on December 31, 2027 and is divided into three sub-performance periods, each beginning on January 1, 2025 and ending on December 31 of 2025, 2026, and 2027, respectively. These sub-performance periods are one, two, and three years in duration with a back-loaded, cumulative opportunity to earn up to 200% of target PSUs at the conclusion of the overall three-year performance period. 2025 PSUs may be earned and vest upon the conclusion of each sub-performance period as follows:</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300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Sub-Performance Period</w:t>
            </w:r>
          </w:p>
        </w:tc>
        <w:tc>
          <w:tcPr>
            <w:tcW w:w="5420" w:type="dxa"/>
            <w:vAlign w:val="bottom"/>
            <w:tcBorders>
              <w:bottom w:val="single" w:sz="8" w:color="FF5715"/>
            </w:tcBorders>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PSU Earning and Vesting Opportunity</w:t>
            </w:r>
          </w:p>
        </w:tc>
        <w:tc>
          <w:tcPr>
            <w:tcW w:w="0" w:type="dxa"/>
            <w:vAlign w:val="bottom"/>
          </w:tcPr>
          <w:p>
            <w:pPr>
              <w:spacing w:after="0"/>
              <w:rPr>
                <w:sz w:val="1"/>
                <w:szCs w:val="1"/>
                <w:color w:val="auto"/>
              </w:rPr>
            </w:pPr>
          </w:p>
        </w:tc>
      </w:tr>
      <w:tr>
        <w:trPr>
          <w:trHeight w:val="243"/>
        </w:trPr>
        <w:tc>
          <w:tcPr>
            <w:tcW w:w="300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January 1, 2025 to December 31, 2025</w:t>
            </w:r>
          </w:p>
        </w:tc>
        <w:tc>
          <w:tcPr>
            <w:tcW w:w="5420" w:type="dxa"/>
            <w:vAlign w:val="bottom"/>
            <w:gridSpan w:val="5"/>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Up to 20% of target PSUs</w:t>
            </w:r>
          </w:p>
        </w:tc>
        <w:tc>
          <w:tcPr>
            <w:tcW w:w="0" w:type="dxa"/>
            <w:vAlign w:val="bottom"/>
          </w:tcPr>
          <w:p>
            <w:pPr>
              <w:spacing w:after="0"/>
              <w:rPr>
                <w:sz w:val="1"/>
                <w:szCs w:val="1"/>
                <w:color w:val="auto"/>
              </w:rPr>
            </w:pPr>
          </w:p>
        </w:tc>
      </w:tr>
      <w:tr>
        <w:trPr>
          <w:trHeight w:val="216"/>
        </w:trPr>
        <w:tc>
          <w:tcPr>
            <w:tcW w:w="3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January 1, 2025 to December 31, 2026</w:t>
            </w:r>
          </w:p>
        </w:tc>
        <w:tc>
          <w:tcPr>
            <w:tcW w:w="54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Up to 55% of target PSUs minus any PSUs earned in the prior sub-</w:t>
            </w:r>
          </w:p>
        </w:tc>
        <w:tc>
          <w:tcPr>
            <w:tcW w:w="0" w:type="dxa"/>
            <w:vAlign w:val="bottom"/>
          </w:tcPr>
          <w:p>
            <w:pPr>
              <w:spacing w:after="0"/>
              <w:rPr>
                <w:sz w:val="1"/>
                <w:szCs w:val="1"/>
                <w:color w:val="auto"/>
              </w:rPr>
            </w:pPr>
          </w:p>
        </w:tc>
      </w:tr>
      <w:tr>
        <w:trPr>
          <w:trHeight w:val="129"/>
        </w:trPr>
        <w:tc>
          <w:tcPr>
            <w:tcW w:w="3000" w:type="dxa"/>
            <w:vAlign w:val="bottom"/>
            <w:vMerge w:val="continue"/>
          </w:tcPr>
          <w:p>
            <w:pPr>
              <w:spacing w:after="0"/>
              <w:rPr>
                <w:sz w:val="11"/>
                <w:szCs w:val="11"/>
                <w:color w:val="auto"/>
              </w:rPr>
            </w:pPr>
          </w:p>
        </w:tc>
        <w:tc>
          <w:tcPr>
            <w:tcW w:w="2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performance period</w:t>
            </w:r>
          </w:p>
        </w:tc>
        <w:tc>
          <w:tcPr>
            <w:tcW w:w="440" w:type="dxa"/>
            <w:vAlign w:val="bottom"/>
            <w:tcBorders>
              <w:top w:val="single" w:sz="8" w:color="auto"/>
            </w:tcBorders>
            <w:gridSpan w:val="2"/>
            <w:vMerge w:val="restart"/>
          </w:tcPr>
          <w:p>
            <w:pPr>
              <w:spacing w:after="0"/>
              <w:rPr>
                <w:sz w:val="11"/>
                <w:szCs w:val="11"/>
                <w:color w:val="auto"/>
              </w:rPr>
            </w:pPr>
          </w:p>
        </w:tc>
        <w:tc>
          <w:tcPr>
            <w:tcW w:w="292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January 1, 2025 to December 31, 2027</w:t>
            </w:r>
          </w:p>
        </w:tc>
        <w:tc>
          <w:tcPr>
            <w:tcW w:w="5420" w:type="dxa"/>
            <w:vAlign w:val="bottom"/>
            <w:gridSpan w:val="5"/>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Up to 200% of target PSUs minus any PSUs earned in the prior sub-</w:t>
            </w:r>
          </w:p>
        </w:tc>
        <w:tc>
          <w:tcPr>
            <w:tcW w:w="0" w:type="dxa"/>
            <w:vAlign w:val="bottom"/>
          </w:tcPr>
          <w:p>
            <w:pPr>
              <w:spacing w:after="0"/>
              <w:rPr>
                <w:sz w:val="1"/>
                <w:szCs w:val="1"/>
                <w:color w:val="auto"/>
              </w:rPr>
            </w:pPr>
          </w:p>
        </w:tc>
      </w:tr>
      <w:tr>
        <w:trPr>
          <w:trHeight w:val="129"/>
        </w:trPr>
        <w:tc>
          <w:tcPr>
            <w:tcW w:w="3000" w:type="dxa"/>
            <w:vAlign w:val="bottom"/>
            <w:tcBorders>
              <w:top w:val="single" w:sz="8" w:color="DBDBDB"/>
            </w:tcBorders>
            <w:vMerge w:val="continue"/>
            <w:shd w:val="clear" w:color="auto" w:fill="DBDBDB"/>
          </w:tcPr>
          <w:p>
            <w:pPr>
              <w:spacing w:after="0"/>
              <w:rPr>
                <w:sz w:val="11"/>
                <w:szCs w:val="11"/>
                <w:color w:val="auto"/>
              </w:rPr>
            </w:pPr>
          </w:p>
        </w:tc>
        <w:tc>
          <w:tcPr>
            <w:tcW w:w="2160" w:type="dxa"/>
            <w:vAlign w:val="bottom"/>
            <w:tcBorders>
              <w:top w:val="single" w:sz="8" w:color="DBDBDB"/>
            </w:tcBorders>
            <w:gridSpan w:val="2"/>
            <w:vMerge w:val="restart"/>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performance periods</w:t>
            </w:r>
          </w:p>
        </w:tc>
        <w:tc>
          <w:tcPr>
            <w:tcW w:w="440" w:type="dxa"/>
            <w:vAlign w:val="bottom"/>
            <w:tcBorders>
              <w:top w:val="single" w:sz="8" w:color="auto"/>
            </w:tcBorders>
            <w:gridSpan w:val="2"/>
            <w:vMerge w:val="restart"/>
            <w:shd w:val="clear" w:color="auto" w:fill="DBDBDB"/>
          </w:tcPr>
          <w:p>
            <w:pPr>
              <w:spacing w:after="0"/>
              <w:rPr>
                <w:sz w:val="11"/>
                <w:szCs w:val="11"/>
                <w:color w:val="auto"/>
              </w:rPr>
            </w:pPr>
          </w:p>
        </w:tc>
        <w:tc>
          <w:tcPr>
            <w:tcW w:w="282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shd w:val="clear" w:color="auto" w:fill="DBDBDB"/>
          </w:tcPr>
          <w:p>
            <w:pPr>
              <w:spacing w:after="0"/>
              <w:rPr>
                <w:sz w:val="9"/>
                <w:szCs w:val="9"/>
                <w:color w:val="auto"/>
              </w:rPr>
            </w:pPr>
          </w:p>
        </w:tc>
        <w:tc>
          <w:tcPr>
            <w:tcW w:w="2160" w:type="dxa"/>
            <w:vAlign w:val="bottom"/>
            <w:gridSpan w:val="2"/>
            <w:vMerge w:val="continue"/>
            <w:shd w:val="clear" w:color="auto" w:fill="DBDBDB"/>
          </w:tcPr>
          <w:p>
            <w:pPr>
              <w:spacing w:after="0"/>
              <w:rPr>
                <w:sz w:val="9"/>
                <w:szCs w:val="9"/>
                <w:color w:val="auto"/>
              </w:rPr>
            </w:pPr>
          </w:p>
        </w:tc>
        <w:tc>
          <w:tcPr>
            <w:tcW w:w="440" w:type="dxa"/>
            <w:vAlign w:val="bottom"/>
            <w:gridSpan w:val="2"/>
            <w:vMerge w:val="continue"/>
            <w:shd w:val="clear" w:color="auto" w:fill="DBDBDB"/>
          </w:tcPr>
          <w:p>
            <w:pPr>
              <w:spacing w:after="0"/>
              <w:rPr>
                <w:sz w:val="9"/>
                <w:szCs w:val="9"/>
                <w:color w:val="auto"/>
              </w:rPr>
            </w:pPr>
          </w:p>
        </w:tc>
        <w:tc>
          <w:tcPr>
            <w:tcW w:w="282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right="379"/>
        <w:spacing w:after="0" w:line="246" w:lineRule="auto"/>
        <w:rPr>
          <w:sz w:val="20"/>
          <w:szCs w:val="20"/>
          <w:color w:val="auto"/>
        </w:rPr>
      </w:pPr>
      <w:r>
        <w:rPr>
          <w:rFonts w:ascii="Times New Roman" w:cs="Times New Roman" w:eastAsia="Times New Roman" w:hAnsi="Times New Roman"/>
          <w:sz w:val="18"/>
          <w:szCs w:val="18"/>
          <w:color w:val="auto"/>
        </w:rPr>
        <w:t>With the redesigned structure, we recognized an accelerated accounting expense in 2025 reflecting the three sub-performance period nature of the grant. This impact is expected to normalize over time as three concurrent in-flight grants are established, creating a more balanced and steady expense recognition pattern. See Notes 2 and 12 to the Consolidated Financial Statements in our Annual Report on Form 10-K for the year ended December 31, 2025 for additional share-based compensation policies and expense details.</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the 2025 PSUs:</w:t>
      </w:r>
    </w:p>
    <w:p>
      <w:pPr>
        <w:spacing w:after="0" w:line="158" w:lineRule="exact"/>
        <w:rPr>
          <w:sz w:val="20"/>
          <w:szCs w:val="20"/>
          <w:color w:val="auto"/>
        </w:rPr>
      </w:pPr>
    </w:p>
    <w:p>
      <w:pPr>
        <w:ind w:left="620" w:right="539" w:hanging="328"/>
        <w:spacing w:after="0" w:line="282"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In Force is defined as the number of current and active auto insurance policyholders underwritten by the Company as of the performance period, and</w:t>
      </w:r>
    </w:p>
    <w:p>
      <w:pPr>
        <w:spacing w:after="0" w:line="107" w:lineRule="exact"/>
        <w:rPr>
          <w:rFonts w:ascii="Times New Roman" w:cs="Times New Roman" w:eastAsia="Times New Roman" w:hAnsi="Times New Roman"/>
          <w:sz w:val="18"/>
          <w:szCs w:val="18"/>
          <w:color w:val="auto"/>
        </w:rPr>
      </w:pPr>
    </w:p>
    <w:p>
      <w:pPr>
        <w:ind w:left="620" w:right="559" w:hanging="328"/>
        <w:spacing w:after="0" w:line="266"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Accident Period Loss Ratio, expressed as a percentage, is defined as all losses and claims expected to arise from insured events that occurred during the applicable period regardless of when they are reported and finally settled divided by gross premiums earned for the same period.</w:t>
      </w:r>
    </w:p>
    <w:p>
      <w:pPr>
        <w:spacing w:after="0" w:line="122" w:lineRule="exact"/>
        <w:rPr>
          <w:sz w:val="20"/>
          <w:szCs w:val="20"/>
          <w:color w:val="auto"/>
        </w:rPr>
      </w:pPr>
    </w:p>
    <w:p>
      <w:pPr>
        <w:ind w:left="300" w:right="339"/>
        <w:spacing w:after="0" w:line="247" w:lineRule="auto"/>
        <w:rPr>
          <w:sz w:val="20"/>
          <w:szCs w:val="20"/>
          <w:color w:val="auto"/>
        </w:rPr>
      </w:pPr>
      <w:r>
        <w:rPr>
          <w:rFonts w:ascii="Times New Roman" w:cs="Times New Roman" w:eastAsia="Times New Roman" w:hAnsi="Times New Roman"/>
          <w:sz w:val="18"/>
          <w:szCs w:val="18"/>
          <w:color w:val="auto"/>
        </w:rPr>
        <w:t>In determining the design of the 2025 PSUs, the compensation committee considered market-prevalent equity grant practices and Root’s approach of granting only performance-based equity in lieu of a combination of both performance-based and time-vesting equity. In determining the values of these awards, the compensation committee considered the market analysis prepared by its consultant, the outstanding equity holdings of each named executive officer, the impact of the award on Root’s dilution and the number of shares available for issuance under our 2020 Equity Incentive Plan.</w:t>
      </w:r>
    </w:p>
    <w:p>
      <w:pPr>
        <w:spacing w:after="0" w:line="12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The target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PSUs granted to our named executive officers in</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 were as follows</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760" w:type="dxa"/>
            <w:vAlign w:val="bottom"/>
            <w:vMerge w:val="restart"/>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8"/>
              </w:rPr>
              <w:t>Target 2025 PSUs</w:t>
            </w:r>
          </w:p>
        </w:tc>
        <w:tc>
          <w:tcPr>
            <w:tcW w:w="20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 PSUs Grant Date</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spacing w:after="0"/>
              <w:rPr>
                <w:sz w:val="11"/>
                <w:szCs w:val="11"/>
                <w:color w:val="auto"/>
              </w:rPr>
            </w:pPr>
          </w:p>
        </w:tc>
        <w:tc>
          <w:tcPr>
            <w:tcW w:w="4760" w:type="dxa"/>
            <w:vAlign w:val="bottom"/>
            <w:vMerge w:val="continue"/>
          </w:tcPr>
          <w:p>
            <w:pPr>
              <w:spacing w:after="0"/>
              <w:rPr>
                <w:sz w:val="11"/>
                <w:szCs w:val="11"/>
                <w:color w:val="auto"/>
              </w:rPr>
            </w:pPr>
          </w:p>
        </w:tc>
        <w:tc>
          <w:tcPr>
            <w:tcW w:w="20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80" w:type="dxa"/>
            <w:vAlign w:val="bottom"/>
            <w:tcBorders>
              <w:bottom w:val="single" w:sz="8" w:color="FF5715"/>
            </w:tcBorders>
            <w:vMerge w:val="continue"/>
          </w:tcPr>
          <w:p>
            <w:pPr>
              <w:spacing w:after="0"/>
              <w:rPr>
                <w:sz w:val="7"/>
                <w:szCs w:val="7"/>
                <w:color w:val="auto"/>
              </w:rPr>
            </w:pPr>
          </w:p>
        </w:tc>
        <w:tc>
          <w:tcPr>
            <w:tcW w:w="560" w:type="dxa"/>
            <w:vAlign w:val="bottom"/>
            <w:tcBorders>
              <w:bottom w:val="single" w:sz="8" w:color="FF5715"/>
            </w:tcBorders>
          </w:tcPr>
          <w:p>
            <w:pPr>
              <w:spacing w:after="0"/>
              <w:rPr>
                <w:sz w:val="7"/>
                <w:szCs w:val="7"/>
                <w:color w:val="auto"/>
              </w:rPr>
            </w:pPr>
          </w:p>
        </w:tc>
        <w:tc>
          <w:tcPr>
            <w:tcW w:w="4760" w:type="dxa"/>
            <w:vAlign w:val="bottom"/>
            <w:tcBorders>
              <w:bottom w:val="single" w:sz="8" w:color="FF5715"/>
            </w:tcBorders>
          </w:tcPr>
          <w:p>
            <w:pPr>
              <w:spacing w:after="0"/>
              <w:rPr>
                <w:sz w:val="7"/>
                <w:szCs w:val="7"/>
                <w:color w:val="auto"/>
              </w:rPr>
            </w:pPr>
          </w:p>
        </w:tc>
        <w:tc>
          <w:tcPr>
            <w:tcW w:w="2040" w:type="dxa"/>
            <w:vAlign w:val="bottom"/>
            <w:tcBorders>
              <w:bottom w:val="single" w:sz="8" w:color="FF5715"/>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9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 Timm</w:t>
            </w:r>
          </w:p>
        </w:tc>
        <w:tc>
          <w:tcPr>
            <w:tcW w:w="560" w:type="dxa"/>
            <w:vAlign w:val="bottom"/>
            <w:shd w:val="clear" w:color="auto" w:fill="DBDBDB"/>
          </w:tcPr>
          <w:p>
            <w:pPr>
              <w:spacing w:after="0"/>
              <w:rPr>
                <w:sz w:val="21"/>
                <w:szCs w:val="21"/>
                <w:color w:val="auto"/>
              </w:rPr>
            </w:pPr>
          </w:p>
        </w:tc>
        <w:tc>
          <w:tcPr>
            <w:tcW w:w="4760" w:type="dxa"/>
            <w:vAlign w:val="bottom"/>
            <w:shd w:val="clear" w:color="auto" w:fill="DBDBDB"/>
          </w:tcPr>
          <w:p>
            <w:pPr>
              <w:jc w:val="center"/>
              <w:ind w:left="3210"/>
              <w:spacing w:after="0"/>
              <w:rPr>
                <w:sz w:val="20"/>
                <w:szCs w:val="20"/>
                <w:color w:val="auto"/>
              </w:rPr>
            </w:pPr>
            <w:r>
              <w:rPr>
                <w:rFonts w:ascii="Times New Roman" w:cs="Times New Roman" w:eastAsia="Times New Roman" w:hAnsi="Times New Roman"/>
                <w:sz w:val="18"/>
                <w:szCs w:val="18"/>
                <w:color w:val="auto"/>
              </w:rPr>
              <w:t>43,681</w:t>
            </w:r>
          </w:p>
        </w:tc>
        <w:tc>
          <w:tcPr>
            <w:tcW w:w="2040" w:type="dxa"/>
            <w:vAlign w:val="bottom"/>
            <w:shd w:val="clear" w:color="auto" w:fill="DBDBDB"/>
          </w:tcPr>
          <w:p>
            <w:pPr>
              <w:jc w:val="center"/>
              <w:ind w:left="190"/>
              <w:spacing w:after="0"/>
              <w:rPr>
                <w:sz w:val="20"/>
                <w:szCs w:val="20"/>
                <w:color w:val="auto"/>
              </w:rPr>
            </w:pPr>
            <w:r>
              <w:rPr>
                <w:rFonts w:ascii="Times New Roman" w:cs="Times New Roman" w:eastAsia="Times New Roman" w:hAnsi="Times New Roman"/>
                <w:sz w:val="18"/>
                <w:szCs w:val="18"/>
                <w:color w:val="auto"/>
                <w:w w:val="98"/>
              </w:rPr>
              <w:t>$5,499,875</w:t>
            </w:r>
          </w:p>
        </w:tc>
        <w:tc>
          <w:tcPr>
            <w:tcW w:w="80" w:type="dxa"/>
            <w:vAlign w:val="bottom"/>
            <w:tcBorders>
              <w:left w:val="single" w:sz="8" w:color="DBDBDB"/>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 Binkley</w:t>
            </w:r>
          </w:p>
        </w:tc>
        <w:tc>
          <w:tcPr>
            <w:tcW w:w="560" w:type="dxa"/>
            <w:vAlign w:val="bottom"/>
          </w:tcPr>
          <w:p>
            <w:pPr>
              <w:spacing w:after="0"/>
              <w:rPr>
                <w:sz w:val="22"/>
                <w:szCs w:val="22"/>
                <w:color w:val="auto"/>
              </w:rPr>
            </w:pPr>
          </w:p>
        </w:tc>
        <w:tc>
          <w:tcPr>
            <w:tcW w:w="476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rPr>
              <w:t>20,848</w:t>
            </w:r>
          </w:p>
        </w:tc>
        <w:tc>
          <w:tcPr>
            <w:tcW w:w="20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$2,624,972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gridSpan w:val="2"/>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M. Bonakdarpour</w:t>
            </w:r>
          </w:p>
        </w:tc>
        <w:tc>
          <w:tcPr>
            <w:tcW w:w="4760" w:type="dxa"/>
            <w:vAlign w:val="bottom"/>
            <w:shd w:val="clear" w:color="auto" w:fill="DBDBDB"/>
          </w:tcPr>
          <w:p>
            <w:pPr>
              <w:jc w:val="center"/>
              <w:ind w:left="3210"/>
              <w:spacing w:after="0"/>
              <w:rPr>
                <w:sz w:val="20"/>
                <w:szCs w:val="20"/>
                <w:color w:val="auto"/>
              </w:rPr>
            </w:pPr>
            <w:r>
              <w:rPr>
                <w:rFonts w:ascii="Times New Roman" w:cs="Times New Roman" w:eastAsia="Times New Roman" w:hAnsi="Times New Roman"/>
                <w:sz w:val="18"/>
                <w:szCs w:val="18"/>
                <w:color w:val="auto"/>
              </w:rPr>
              <w:t>29,386</w:t>
            </w:r>
          </w:p>
        </w:tc>
        <w:tc>
          <w:tcPr>
            <w:tcW w:w="2040" w:type="dxa"/>
            <w:vAlign w:val="bottom"/>
            <w:shd w:val="clear" w:color="auto" w:fill="DBDBDB"/>
          </w:tcPr>
          <w:p>
            <w:pPr>
              <w:jc w:val="center"/>
              <w:ind w:left="190"/>
              <w:spacing w:after="0"/>
              <w:rPr>
                <w:sz w:val="20"/>
                <w:szCs w:val="20"/>
                <w:color w:val="auto"/>
              </w:rPr>
            </w:pPr>
            <w:r>
              <w:rPr>
                <w:rFonts w:ascii="Times New Roman" w:cs="Times New Roman" w:eastAsia="Times New Roman" w:hAnsi="Times New Roman"/>
                <w:sz w:val="18"/>
                <w:szCs w:val="18"/>
                <w:color w:val="auto"/>
                <w:w w:val="98"/>
              </w:rPr>
              <w:t>$3,699,991</w:t>
            </w:r>
          </w:p>
        </w:tc>
        <w:tc>
          <w:tcPr>
            <w:tcW w:w="80" w:type="dxa"/>
            <w:vAlign w:val="bottom"/>
            <w:tcBorders>
              <w:left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 Allison</w:t>
            </w:r>
          </w:p>
        </w:tc>
        <w:tc>
          <w:tcPr>
            <w:tcW w:w="560" w:type="dxa"/>
            <w:vAlign w:val="bottom"/>
          </w:tcPr>
          <w:p>
            <w:pPr>
              <w:spacing w:after="0"/>
              <w:rPr>
                <w:sz w:val="23"/>
                <w:szCs w:val="23"/>
                <w:color w:val="auto"/>
              </w:rPr>
            </w:pPr>
          </w:p>
        </w:tc>
        <w:tc>
          <w:tcPr>
            <w:tcW w:w="476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rPr>
              <w:t>19,061</w:t>
            </w:r>
          </w:p>
        </w:tc>
        <w:tc>
          <w:tcPr>
            <w:tcW w:w="20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$2,399,971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019"/>
          </w:cols>
          <w:pgMar w:left="1440" w:top="1215" w:right="1440" w:bottom="1440" w:gutter="0" w:footer="0" w:header="0"/>
          <w:type w:val="continuous"/>
        </w:sectPr>
      </w:pPr>
    </w:p>
    <w:bookmarkStart w:id="43" w:name="page44"/>
    <w:bookmarkEnd w:id="43"/>
    <w:p>
      <w:pPr>
        <w:ind w:left="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Vested and Outstanding PSUs</w:t>
      </w:r>
    </w:p>
    <w:p>
      <w:pPr>
        <w:spacing w:after="0" w:line="216"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PSUs granted in 2023 were granted with the performance criteria consisting of four separate stock price targets to be met only (1) on or following the satisfaction of certain time-based service conditions, and (2) if the applicable pre-established stock price target is met or exceeded based on the average closing price per share of our Class A common stock over a consecutive 45-trading-day period during the performance period. As of the end of 2025, the performance criteria was satisfied as follows: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2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Stock Price Target</w:t>
            </w:r>
          </w:p>
        </w:tc>
        <w:tc>
          <w:tcPr>
            <w:tcW w:w="1080" w:type="dxa"/>
            <w:vAlign w:val="bottom"/>
          </w:tcPr>
          <w:p>
            <w:pPr>
              <w:spacing w:after="0"/>
              <w:rPr>
                <w:sz w:val="19"/>
                <w:szCs w:val="19"/>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Time-Based Service Condition</w:t>
            </w:r>
          </w:p>
        </w:tc>
      </w:tr>
      <w:tr>
        <w:trPr>
          <w:trHeight w:val="247"/>
        </w:trPr>
        <w:tc>
          <w:tcPr>
            <w:tcW w:w="2160" w:type="dxa"/>
            <w:vAlign w:val="bottom"/>
            <w:tcBorders>
              <w:bottom w:val="single" w:sz="8" w:color="FF5715"/>
            </w:tcBorders>
          </w:tcPr>
          <w:p>
            <w:pPr>
              <w:jc w:val="center"/>
              <w:ind w:right="70"/>
              <w:spacing w:after="0" w:line="240" w:lineRule="exact"/>
              <w:rPr>
                <w:sz w:val="20"/>
                <w:szCs w:val="20"/>
                <w:color w:val="auto"/>
              </w:rPr>
            </w:pPr>
            <w:r>
              <w:rPr>
                <w:rFonts w:ascii="Times New Roman" w:cs="Times New Roman" w:eastAsia="Times New Roman" w:hAnsi="Times New Roman"/>
                <w:sz w:val="18"/>
                <w:szCs w:val="18"/>
                <w:b w:val="1"/>
                <w:bCs w:val="1"/>
                <w:color w:val="auto"/>
                <w:w w:val="96"/>
              </w:rPr>
              <w:t xml:space="preserve">Tranche </w:t>
            </w:r>
            <w:r>
              <w:rPr>
                <w:rFonts w:ascii="Times New Roman" w:cs="Times New Roman" w:eastAsia="Times New Roman" w:hAnsi="Times New Roman"/>
                <w:sz w:val="23"/>
                <w:szCs w:val="23"/>
                <w:b w:val="1"/>
                <w:bCs w:val="1"/>
                <w:color w:val="auto"/>
                <w:w w:val="96"/>
                <w:vertAlign w:val="superscript"/>
              </w:rPr>
              <w:t>(1)</w:t>
            </w:r>
          </w:p>
        </w:tc>
        <w:tc>
          <w:tcPr>
            <w:tcW w:w="1080" w:type="dxa"/>
            <w:vAlign w:val="bottom"/>
            <w:tcBorders>
              <w:bottom w:val="single" w:sz="8" w:color="FF5715"/>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340" w:type="dxa"/>
            <w:vAlign w:val="bottom"/>
            <w:tcBorders>
              <w:bottom w:val="single" w:sz="8" w:color="FF5715"/>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84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43"/>
        </w:trPr>
        <w:tc>
          <w:tcPr>
            <w:tcW w:w="2160" w:type="dxa"/>
            <w:vAlign w:val="bottom"/>
            <w:shd w:val="clear" w:color="auto" w:fill="DBDBDB"/>
          </w:tcPr>
          <w:p>
            <w:pPr>
              <w:jc w:val="center"/>
              <w:ind w:right="70"/>
              <w:spacing w:after="0"/>
              <w:rPr>
                <w:sz w:val="20"/>
                <w:szCs w:val="20"/>
                <w:color w:val="auto"/>
              </w:rPr>
            </w:pPr>
            <w:r>
              <w:rPr>
                <w:rFonts w:ascii="Times New Roman" w:cs="Times New Roman" w:eastAsia="Times New Roman" w:hAnsi="Times New Roman"/>
                <w:sz w:val="18"/>
                <w:szCs w:val="18"/>
                <w:color w:val="auto"/>
                <w:w w:val="88"/>
              </w:rPr>
              <w:t>1</w:t>
            </w:r>
          </w:p>
        </w:tc>
        <w:tc>
          <w:tcPr>
            <w:tcW w:w="10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$16.76</w:t>
            </w:r>
          </w:p>
        </w:tc>
        <w:tc>
          <w:tcPr>
            <w:tcW w:w="2340" w:type="dxa"/>
            <w:vAlign w:val="bottom"/>
            <w:shd w:val="clear" w:color="auto" w:fill="DBDBDB"/>
          </w:tcPr>
          <w:p>
            <w:pPr>
              <w:jc w:val="center"/>
              <w:ind w:left="390"/>
              <w:spacing w:after="0"/>
              <w:rPr>
                <w:sz w:val="20"/>
                <w:szCs w:val="20"/>
                <w:color w:val="auto"/>
              </w:rPr>
            </w:pPr>
            <w:r>
              <w:rPr>
                <w:rFonts w:ascii="Times New Roman" w:cs="Times New Roman" w:eastAsia="Times New Roman" w:hAnsi="Times New Roman"/>
                <w:sz w:val="18"/>
                <w:szCs w:val="18"/>
                <w:color w:val="auto"/>
                <w:w w:val="98"/>
              </w:rPr>
              <w:t>Condition Satisfied</w:t>
            </w:r>
          </w:p>
        </w:tc>
        <w:tc>
          <w:tcPr>
            <w:tcW w:w="28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Condition Satisfied</w:t>
            </w:r>
          </w:p>
        </w:tc>
      </w:tr>
      <w:tr>
        <w:trPr>
          <w:trHeight w:val="256"/>
        </w:trPr>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23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Condition Satisfied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Condition Satisfied</w:t>
            </w:r>
          </w:p>
        </w:tc>
      </w:tr>
      <w:tr>
        <w:trPr>
          <w:trHeight w:val="257"/>
        </w:trPr>
        <w:tc>
          <w:tcPr>
            <w:tcW w:w="2160" w:type="dxa"/>
            <w:vAlign w:val="bottom"/>
            <w:shd w:val="clear" w:color="auto" w:fill="DBDBDB"/>
          </w:tcPr>
          <w:p>
            <w:pPr>
              <w:jc w:val="center"/>
              <w:ind w:right="70"/>
              <w:spacing w:after="0"/>
              <w:rPr>
                <w:sz w:val="20"/>
                <w:szCs w:val="20"/>
                <w:color w:val="auto"/>
              </w:rPr>
            </w:pPr>
            <w:r>
              <w:rPr>
                <w:rFonts w:ascii="Times New Roman" w:cs="Times New Roman" w:eastAsia="Times New Roman" w:hAnsi="Times New Roman"/>
                <w:sz w:val="18"/>
                <w:szCs w:val="18"/>
                <w:color w:val="auto"/>
                <w:w w:val="88"/>
              </w:rPr>
              <w:t>3</w:t>
            </w:r>
          </w:p>
        </w:tc>
        <w:tc>
          <w:tcPr>
            <w:tcW w:w="108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$33.52</w:t>
            </w:r>
          </w:p>
        </w:tc>
        <w:tc>
          <w:tcPr>
            <w:tcW w:w="2340" w:type="dxa"/>
            <w:vAlign w:val="bottom"/>
            <w:shd w:val="clear" w:color="auto" w:fill="DBDBDB"/>
          </w:tcPr>
          <w:p>
            <w:pPr>
              <w:jc w:val="center"/>
              <w:ind w:left="370"/>
              <w:spacing w:after="0"/>
              <w:rPr>
                <w:sz w:val="20"/>
                <w:szCs w:val="20"/>
                <w:color w:val="auto"/>
              </w:rPr>
            </w:pPr>
            <w:r>
              <w:rPr>
                <w:rFonts w:ascii="Times New Roman" w:cs="Times New Roman" w:eastAsia="Times New Roman" w:hAnsi="Times New Roman"/>
                <w:sz w:val="18"/>
                <w:szCs w:val="18"/>
                <w:color w:val="auto"/>
                <w:w w:val="99"/>
              </w:rPr>
              <w:t>Outstanding</w:t>
            </w:r>
          </w:p>
        </w:tc>
        <w:tc>
          <w:tcPr>
            <w:tcW w:w="28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57"/>
        </w:trPr>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$41.90</w:t>
            </w:r>
          </w:p>
        </w:tc>
        <w:tc>
          <w:tcPr>
            <w:tcW w:w="23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Outstanding</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bl>
    <w:p>
      <w:pPr>
        <w:spacing w:after="0" w:line="261" w:lineRule="exact"/>
        <w:rPr>
          <w:sz w:val="20"/>
          <w:szCs w:val="20"/>
          <w:color w:val="auto"/>
        </w:rPr>
      </w:pPr>
    </w:p>
    <w:p>
      <w:pPr>
        <w:ind w:left="620" w:right="419" w:hanging="328"/>
        <w:spacing w:after="0" w:line="275" w:lineRule="auto"/>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second stock price target of $25.14/share and applicable time-based service condition were met. The gross share payouts realized by each of the named executive officers were as follows: Mr. Timm, 41,979; Ms. Binkley, 3,184; Mr. Bonakdarpour, 28,695; and Mr. Allison, 4,295. The third stock price target of $33.52 and service condition were met in April 2026. The final stock price target of $41.90 and service condition may be met on or after April 1, 2027.</w:t>
      </w:r>
    </w:p>
    <w:p>
      <w:pPr>
        <w:spacing w:after="0" w:line="13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performance period for the 2024 PSUs and the first sub-performance period of the 2025 PSUs were completed as of the end of 2025 and the payouts were as follows: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62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PSUs</w:t>
            </w:r>
          </w:p>
        </w:tc>
        <w:tc>
          <w:tcPr>
            <w:tcW w:w="214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Percentage</w:t>
            </w:r>
          </w:p>
        </w:tc>
      </w:tr>
      <w:tr>
        <w:trPr>
          <w:trHeight w:val="243"/>
        </w:trPr>
        <w:tc>
          <w:tcPr>
            <w:tcW w:w="6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2024 PSUs</w:t>
            </w:r>
          </w:p>
        </w:tc>
        <w:tc>
          <w:tcPr>
            <w:tcW w:w="21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154%</w:t>
            </w:r>
          </w:p>
        </w:tc>
      </w:tr>
      <w:tr>
        <w:trPr>
          <w:trHeight w:val="270"/>
        </w:trPr>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 PSUs: Sub-performance period January 1, 2025 to December 31, 2025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of target PSUs</w:t>
            </w:r>
          </w:p>
        </w:tc>
      </w:tr>
    </w:tbl>
    <w:p>
      <w:pPr>
        <w:spacing w:after="0" w:line="265"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2024 PSUs were earned after a one-year performance period, corresponding to calendar year 2025, upon the achievement of predetermined goals tied to financial measures of 2025 Adjusted EBITDA and New Writings, with the opportunity to earn 200% of target PSUs . The two financial measures were arranged in a matrix where a combination of performance resulted in a predetermined payout percentage of 154%. In order to add retentive value to the 2024 PSUs and to align the awards with long-term stockholder value, the earned PSUs are subject to an additional time-vesting requirement where 25% of the earned PSUs vested upon certification of the results in February 2026, and an additional 25% will vest on or about January 1 of each calendar year thereafter until the award is fully time-vested.</w:t>
      </w:r>
    </w:p>
    <w:p>
      <w:pPr>
        <w:spacing w:after="0" w:line="19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shares tied to the first sub-performance period of the 2025 PSUs were earned after a one-year performance period corresponding to calendar year 2025, upon the achievement of predetermined goals tied to measures of Gross Accident Period Loss Ratio and Policies In Force. The two financial measures were arranged in a matrix where a combination of performance resulted in a predetermined payout percentage with a maximum of 20% of the full target 2025 PSUs eligible to be earned in the first sub-performance period. Upon certification of the results in February 2026, the maximum 20% of target shares were earned.</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two outstanding sub-performance periods of the 2025 PSUs are trending as follows: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6200" w:type="dxa"/>
            <w:vAlign w:val="bottom"/>
            <w:tcBorders>
              <w:bottom w:val="single" w:sz="8" w:color="FF5715"/>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PSUs</w:t>
            </w:r>
          </w:p>
        </w:tc>
        <w:tc>
          <w:tcPr>
            <w:tcW w:w="2220" w:type="dxa"/>
            <w:vAlign w:val="bottom"/>
            <w:tcBorders>
              <w:bottom w:val="single" w:sz="8" w:color="FF5715"/>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Trending Performance</w:t>
            </w:r>
          </w:p>
        </w:tc>
      </w:tr>
      <w:tr>
        <w:trPr>
          <w:trHeight w:val="243"/>
        </w:trPr>
        <w:tc>
          <w:tcPr>
            <w:tcW w:w="6200" w:type="dxa"/>
            <w:vAlign w:val="bottom"/>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color w:val="auto"/>
              </w:rPr>
              <w:t>2025 PSUs: Sub-performance period January 1, 2025 to December 31, 2026</w:t>
            </w:r>
          </w:p>
        </w:tc>
        <w:tc>
          <w:tcPr>
            <w:tcW w:w="2220" w:type="dxa"/>
            <w:vAlign w:val="bottom"/>
            <w:shd w:val="clear" w:color="auto" w:fill="DBDBDB"/>
          </w:tcPr>
          <w:p>
            <w:pPr>
              <w:jc w:val="center"/>
              <w:ind w:left="10"/>
              <w:spacing w:after="0"/>
              <w:rPr>
                <w:sz w:val="20"/>
                <w:szCs w:val="20"/>
                <w:color w:val="auto"/>
              </w:rPr>
            </w:pPr>
            <w:r>
              <w:rPr>
                <w:rFonts w:ascii="Times New Roman" w:cs="Times New Roman" w:eastAsia="Times New Roman" w:hAnsi="Times New Roman"/>
                <w:sz w:val="18"/>
                <w:szCs w:val="18"/>
                <w:color w:val="auto"/>
                <w:w w:val="93"/>
              </w:rPr>
              <w:t>Target</w:t>
            </w:r>
          </w:p>
        </w:tc>
      </w:tr>
      <w:tr>
        <w:trPr>
          <w:trHeight w:val="256"/>
        </w:trPr>
        <w:tc>
          <w:tcPr>
            <w:tcW w:w="6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2025 PSUs: Sub-performance period January 1, 2025 to December 31, 2027</w:t>
            </w:r>
          </w:p>
        </w:tc>
        <w:tc>
          <w:tcPr>
            <w:tcW w:w="2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Above Target</w:t>
            </w:r>
          </w:p>
        </w:tc>
      </w:tr>
    </w:tbl>
    <w:p>
      <w:pPr>
        <w:spacing w:after="0" w:line="200" w:lineRule="exact"/>
        <w:rPr>
          <w:sz w:val="20"/>
          <w:szCs w:val="20"/>
          <w:color w:val="auto"/>
        </w:rPr>
      </w:pP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019"/>
          </w:cols>
          <w:pgMar w:left="1440" w:top="1224" w:right="1440" w:bottom="1440" w:gutter="0" w:footer="0" w:header="0"/>
          <w:type w:val="continuous"/>
        </w:sectPr>
      </w:pPr>
    </w:p>
    <w:bookmarkStart w:id="44" w:name="page45"/>
    <w:bookmarkEnd w:id="44"/>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Key Compensation Governance Policies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Prohibitions</w:t>
      </w:r>
    </w:p>
    <w:p>
      <w:pPr>
        <w:spacing w:after="0" w:line="2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Root maintains anti-hedging provisions under its Amended and Restated Insider Trading Policy, which prohibits employees, including named executive officers and the non-employee members of our board of directors from engaging in hedging or participating in monetization transactions, including through the use of financial instruments such as prepaid variable forwards, equity swaps, collars, and exchange funds, or purchasing our equity securities on margin or holding them in a margin account. While employees generally may not pledge shares of our stock, executive officers, certain other designated employees, and non-employee directors may pledge shares of the Company’s stock as collateral with the prior approval of our CFO and Chief Legal Officer and Secretary or our CEO in the case of the CFO and Chief Legal Officer and Secretary, or with notice to the Chief Legal Officer and Secretary in the case of our non-employee directors. None of our executive officers or non-employee members of our board of directors has pledged our equity securities as of the date of this Proxy Statement.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Company maintains and operates a compensation recovery (“clawback”) policy that complies with the requirements of Exchange Act Rule 10D-1 and the applicable Nasdaq listing standards to recover certain incentive-based compensation in the event of an accounting restatement. In 2024, the policy was amended to allow for the recovery of incentive-based compensation and other equity awards or compensation, other than base salary, in the discretion of the compensation committee, in the event of an accounting restatement or where certain activity caused serious financial or reputational damage to the Company, involving intentional misconduct or an intentional violation of any of the Company’s rules or any applicable legal or regulatory requirements, or fraud during the course of employment with the Company.</w:t>
      </w:r>
    </w:p>
    <w:p>
      <w:pPr>
        <w:spacing w:after="0" w:line="192"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In addition, the Company’s equity grant agreements include a clawback provision to allow for compensation recovery pursuant to any clawback policies that may be adopted or implemented from time to time by the Company, as permitted under applicable law.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Evaluation of Compensation Program Risks</w:t>
      </w:r>
    </w:p>
    <w:p>
      <w:pPr>
        <w:spacing w:after="0" w:line="2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Compensia, the compensation committee’s compensation consultant, prepared a report regarding the design and operation of our executive compensation program, to determine whether it might encourage inappropriate risk-taking that could have a material adverse effect on the Company. Following a review of that report and the Company’s review of its other compensation programs, the compensation committee determined that the Company’s compensation programs do not encourage employees to take risks that are reasonably likely to have a material adverse effect on the Company.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43"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We have entered into a letter agreement or an employment agreement with each of our named executive officers. Each of our named executive officers also has executed our standard form of proprietary information and inventions agreement. The principal terms of the letter and employment agreements are described below.</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Mr. Timm</w:t>
      </w:r>
    </w:p>
    <w:p>
      <w:pPr>
        <w:spacing w:after="0" w:line="3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January 2021, we entered into a letter agreement with Mr. Timm, which was amended in February 2022. Mr. Timm’s employment is “at will” and may be terminated at any time, with or without cause (as such term is defined in the letter agreement). However, under the letter agreement, Mr. Timm is eligible for severance payments and benefits upon a termination of his employment with us under certain circumstances, including in connection with a change in control of the Company as described in more detail below under the subsection titled </w:t>
      </w:r>
      <w:r>
        <w:rPr>
          <w:rFonts w:ascii="Times New Roman" w:cs="Times New Roman" w:eastAsia="Times New Roman" w:hAnsi="Times New Roman"/>
          <w:sz w:val="18"/>
          <w:szCs w:val="18"/>
          <w:i w:val="1"/>
          <w:iCs w:val="1"/>
          <w:color w:val="auto"/>
        </w:rPr>
        <w:t>“Potential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Benefits upon Termination or Change in Control.”</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215" w:right="1440" w:bottom="1440" w:gutter="0" w:footer="0" w:header="0"/>
          <w:type w:val="continuous"/>
        </w:sectPr>
      </w:pPr>
    </w:p>
    <w:bookmarkStart w:id="45" w:name="page46"/>
    <w:bookmarkEnd w:id="4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Ms. Binkley</w:t>
      </w:r>
    </w:p>
    <w:p>
      <w:pPr>
        <w:spacing w:after="0" w:line="31"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In August 2022, we entered into an executive employment agreement with Ms. Binkley. Ms. Binkley’s employment is “at will” and may be terminated at any time, with or without cause (as such term is defined in the employment agreement). Under the agreement, Ms. Binkley is eligible for severance payments and benefits upon a termination of her employment with us under certain circumstances, including in connection with a change in control of the</w:t>
      </w:r>
    </w:p>
    <w:p>
      <w:pPr>
        <w:spacing w:after="0" w:line="2" w:lineRule="exact"/>
        <w:rPr>
          <w:sz w:val="20"/>
          <w:szCs w:val="20"/>
          <w:color w:val="auto"/>
        </w:rPr>
      </w:pP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 xml:space="preserve">Company as described in more detail below under the subsection titled </w:t>
      </w:r>
      <w:r>
        <w:rPr>
          <w:rFonts w:ascii="Times New Roman" w:cs="Times New Roman" w:eastAsia="Times New Roman" w:hAnsi="Times New Roman"/>
          <w:sz w:val="18"/>
          <w:szCs w:val="18"/>
          <w:i w:val="1"/>
          <w:iCs w:val="1"/>
          <w:color w:val="auto"/>
        </w:rPr>
        <w:t>“Potential Payments and Benefits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Mr. Bonakdarpour</w:t>
      </w:r>
    </w:p>
    <w:p>
      <w:pPr>
        <w:spacing w:after="0" w:line="3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December 2021, we entered into an executive employment agreement with Mr. Bonakdarpour. Mr. Bonakdarpour’s employment is “at will” and may be terminated at any time, with or without cause (as such term is defined in the employment agreement). Under the agreement, Mr. Bonakdarpour is eligible for severance payments and benefits upon a termination of his employment with us under certain circumstances, including in connection with a change in control of the Company as described in more detail below under the subsection titled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and Benefits upon Termination or Change in Control.”</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Mr. Allison</w:t>
      </w:r>
    </w:p>
    <w:p>
      <w:pPr>
        <w:spacing w:after="0" w:line="3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November 2021, we entered into an executive employment agreement with Mr. Allison. Mr. Allison’s employment is “at will” and may be terminated at any time, with or without cause (as such term is defined in the employment agreement). Under the agreement, Mr. Allison is eligible for severance payments and benefits upon a termination of his employment with us under certain circumstances, including in connection with a change in control of the Company as described in more detail below under the subsection titled </w:t>
      </w:r>
      <w:r>
        <w:rPr>
          <w:rFonts w:ascii="Times New Roman" w:cs="Times New Roman" w:eastAsia="Times New Roman" w:hAnsi="Times New Roman"/>
          <w:sz w:val="18"/>
          <w:szCs w:val="18"/>
          <w:i w:val="1"/>
          <w:iCs w:val="1"/>
          <w:color w:val="auto"/>
        </w:rPr>
        <w:t>“Potential Payments and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Termination or Change in Control.”</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 board of directors expects all executive officers and non-employee directors to maintain ownership in the Company in order to help align interests with those of stockholders. Accordingly, the compensation committee adopted stock ownership guidelines for all executive officers and non-employee directors effective April 30, 2025. The ownership guidelines are as follows:</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19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Population</w:t>
            </w:r>
          </w:p>
        </w:tc>
        <w:tc>
          <w:tcPr>
            <w:tcW w:w="23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Guideline Multiple</w:t>
            </w:r>
          </w:p>
        </w:tc>
        <w:tc>
          <w:tcPr>
            <w:tcW w:w="4100" w:type="dxa"/>
            <w:vAlign w:val="bottom"/>
            <w:tcBorders>
              <w:bottom w:val="single" w:sz="8" w:color="FF5715"/>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Share Ownership Includes</w:t>
            </w:r>
          </w:p>
        </w:tc>
        <w:tc>
          <w:tcPr>
            <w:tcW w:w="0" w:type="dxa"/>
            <w:vAlign w:val="bottom"/>
          </w:tcPr>
          <w:p>
            <w:pPr>
              <w:spacing w:after="0"/>
              <w:rPr>
                <w:sz w:val="1"/>
                <w:szCs w:val="1"/>
                <w:color w:val="auto"/>
              </w:rPr>
            </w:pPr>
          </w:p>
        </w:tc>
      </w:tr>
      <w:tr>
        <w:trPr>
          <w:trHeight w:val="279"/>
        </w:trPr>
        <w:tc>
          <w:tcPr>
            <w:tcW w:w="1960" w:type="dxa"/>
            <w:vAlign w:val="bottom"/>
            <w:shd w:val="clear" w:color="auto" w:fill="DBDBDB"/>
          </w:tcPr>
          <w:p>
            <w:pPr>
              <w:spacing w:after="0"/>
              <w:rPr>
                <w:sz w:val="24"/>
                <w:szCs w:val="24"/>
                <w:color w:val="auto"/>
              </w:rPr>
            </w:pPr>
          </w:p>
        </w:tc>
        <w:tc>
          <w:tcPr>
            <w:tcW w:w="2360" w:type="dxa"/>
            <w:vAlign w:val="bottom"/>
            <w:shd w:val="clear" w:color="auto" w:fill="DBDBDB"/>
          </w:tcPr>
          <w:p>
            <w:pPr>
              <w:spacing w:after="0"/>
              <w:rPr>
                <w:sz w:val="24"/>
                <w:szCs w:val="24"/>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Shares owned directly by the executive officer/</w:t>
            </w:r>
          </w:p>
        </w:tc>
        <w:tc>
          <w:tcPr>
            <w:tcW w:w="0" w:type="dxa"/>
            <w:vAlign w:val="bottom"/>
          </w:tcPr>
          <w:p>
            <w:pPr>
              <w:spacing w:after="0"/>
              <w:rPr>
                <w:sz w:val="1"/>
                <w:szCs w:val="1"/>
                <w:color w:val="auto"/>
              </w:rPr>
            </w:pPr>
          </w:p>
        </w:tc>
      </w:tr>
      <w:tr>
        <w:trPr>
          <w:trHeight w:val="216"/>
        </w:trPr>
        <w:tc>
          <w:tcPr>
            <w:tcW w:w="19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3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5x current annual base salary</w:t>
            </w: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non-employee director or his or her spouse or</w:t>
            </w:r>
          </w:p>
        </w:tc>
        <w:tc>
          <w:tcPr>
            <w:tcW w:w="0" w:type="dxa"/>
            <w:vAlign w:val="bottom"/>
          </w:tcPr>
          <w:p>
            <w:pPr>
              <w:spacing w:after="0"/>
              <w:rPr>
                <w:sz w:val="1"/>
                <w:szCs w:val="1"/>
                <w:color w:val="auto"/>
              </w:rPr>
            </w:pPr>
          </w:p>
        </w:tc>
      </w:tr>
      <w:tr>
        <w:trPr>
          <w:trHeight w:val="113"/>
        </w:trPr>
        <w:tc>
          <w:tcPr>
            <w:tcW w:w="1960" w:type="dxa"/>
            <w:vAlign w:val="bottom"/>
            <w:vMerge w:val="continue"/>
            <w:shd w:val="clear" w:color="auto" w:fill="DBDBDB"/>
          </w:tcPr>
          <w:p>
            <w:pPr>
              <w:spacing w:after="0"/>
              <w:rPr>
                <w:sz w:val="9"/>
                <w:szCs w:val="9"/>
                <w:color w:val="auto"/>
              </w:rPr>
            </w:pPr>
          </w:p>
        </w:tc>
        <w:tc>
          <w:tcPr>
            <w:tcW w:w="2360" w:type="dxa"/>
            <w:vAlign w:val="bottom"/>
            <w:vMerge w:val="continue"/>
            <w:shd w:val="clear" w:color="auto" w:fill="DBDBDB"/>
          </w:tcPr>
          <w:p>
            <w:pPr>
              <w:spacing w:after="0"/>
              <w:rPr>
                <w:sz w:val="9"/>
                <w:szCs w:val="9"/>
                <w:color w:val="auto"/>
              </w:rPr>
            </w:pPr>
          </w:p>
        </w:tc>
        <w:tc>
          <w:tcPr>
            <w:tcW w:w="41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minor children</w:t>
            </w:r>
          </w:p>
        </w:tc>
        <w:tc>
          <w:tcPr>
            <w:tcW w:w="0" w:type="dxa"/>
            <w:vAlign w:val="bottom"/>
          </w:tcPr>
          <w:p>
            <w:pPr>
              <w:spacing w:after="0"/>
              <w:rPr>
                <w:sz w:val="1"/>
                <w:szCs w:val="1"/>
                <w:color w:val="auto"/>
              </w:rPr>
            </w:pPr>
          </w:p>
        </w:tc>
      </w:tr>
      <w:tr>
        <w:trPr>
          <w:trHeight w:val="122"/>
        </w:trPr>
        <w:tc>
          <w:tcPr>
            <w:tcW w:w="1960" w:type="dxa"/>
            <w:vAlign w:val="bottom"/>
            <w:shd w:val="clear" w:color="auto" w:fill="DBDBDB"/>
          </w:tcPr>
          <w:p>
            <w:pPr>
              <w:spacing w:after="0"/>
              <w:rPr>
                <w:sz w:val="10"/>
                <w:szCs w:val="10"/>
                <w:color w:val="auto"/>
              </w:rPr>
            </w:pPr>
          </w:p>
        </w:tc>
        <w:tc>
          <w:tcPr>
            <w:tcW w:w="2360" w:type="dxa"/>
            <w:vAlign w:val="bottom"/>
            <w:shd w:val="clear" w:color="auto" w:fill="DBDBDB"/>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DBDBDB"/>
          </w:tcPr>
          <w:p>
            <w:pPr>
              <w:spacing w:after="0"/>
              <w:rPr>
                <w:sz w:val="21"/>
                <w:szCs w:val="21"/>
                <w:color w:val="auto"/>
              </w:rPr>
            </w:pPr>
          </w:p>
        </w:tc>
        <w:tc>
          <w:tcPr>
            <w:tcW w:w="2360" w:type="dxa"/>
            <w:vAlign w:val="bottom"/>
            <w:shd w:val="clear" w:color="auto" w:fill="DBDBDB"/>
          </w:tcPr>
          <w:p>
            <w:pPr>
              <w:spacing w:after="0"/>
              <w:rPr>
                <w:sz w:val="21"/>
                <w:szCs w:val="21"/>
                <w:color w:val="auto"/>
              </w:rPr>
            </w:pPr>
          </w:p>
        </w:tc>
        <w:tc>
          <w:tcPr>
            <w:tcW w:w="4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Shares held in trust for the benefit of the</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executive/non-employee director or his or her</w:t>
            </w:r>
          </w:p>
        </w:tc>
        <w:tc>
          <w:tcPr>
            <w:tcW w:w="0" w:type="dxa"/>
            <w:vAlign w:val="bottom"/>
          </w:tcPr>
          <w:p>
            <w:pPr>
              <w:spacing w:after="0"/>
              <w:rPr>
                <w:sz w:val="1"/>
                <w:szCs w:val="1"/>
                <w:color w:val="auto"/>
              </w:rPr>
            </w:pPr>
          </w:p>
        </w:tc>
      </w:tr>
      <w:tr>
        <w:trPr>
          <w:trHeight w:val="23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Executive Officers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3x current annual base salary</w:t>
            </w: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spouse or minor children</w:t>
            </w:r>
          </w:p>
        </w:tc>
        <w:tc>
          <w:tcPr>
            <w:tcW w:w="0" w:type="dxa"/>
            <w:vAlign w:val="bottom"/>
          </w:tcPr>
          <w:p>
            <w:pPr>
              <w:spacing w:after="0"/>
              <w:rPr>
                <w:sz w:val="1"/>
                <w:szCs w:val="1"/>
                <w:color w:val="auto"/>
              </w:rPr>
            </w:pPr>
          </w:p>
        </w:tc>
      </w:tr>
      <w:tr>
        <w:trPr>
          <w:trHeight w:val="394"/>
        </w:trPr>
        <w:tc>
          <w:tcPr>
            <w:tcW w:w="1960" w:type="dxa"/>
            <w:vAlign w:val="bottom"/>
            <w:tcBorders>
              <w:bottom w:val="single" w:sz="8" w:color="DBDBDB"/>
            </w:tcBorders>
          </w:tcPr>
          <w:p>
            <w:pPr>
              <w:spacing w:after="0"/>
              <w:rPr>
                <w:sz w:val="24"/>
                <w:szCs w:val="24"/>
                <w:color w:val="auto"/>
              </w:rPr>
            </w:pPr>
          </w:p>
        </w:tc>
        <w:tc>
          <w:tcPr>
            <w:tcW w:w="2360" w:type="dxa"/>
            <w:vAlign w:val="bottom"/>
            <w:tcBorders>
              <w:bottom w:val="single" w:sz="8" w:color="DBDBDB"/>
            </w:tcBorders>
          </w:tcPr>
          <w:p>
            <w:pPr>
              <w:spacing w:after="0"/>
              <w:rPr>
                <w:sz w:val="24"/>
                <w:szCs w:val="24"/>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Shares obtained through vesting of restricted</w:t>
            </w:r>
          </w:p>
        </w:tc>
        <w:tc>
          <w:tcPr>
            <w:tcW w:w="0" w:type="dxa"/>
            <w:vAlign w:val="bottom"/>
          </w:tcPr>
          <w:p>
            <w:pPr>
              <w:spacing w:after="0"/>
              <w:rPr>
                <w:sz w:val="1"/>
                <w:szCs w:val="1"/>
                <w:color w:val="auto"/>
              </w:rPr>
            </w:pPr>
          </w:p>
        </w:tc>
      </w:tr>
      <w:tr>
        <w:trPr>
          <w:trHeight w:val="234"/>
        </w:trPr>
        <w:tc>
          <w:tcPr>
            <w:tcW w:w="1960" w:type="dxa"/>
            <w:vAlign w:val="bottom"/>
            <w:shd w:val="clear" w:color="auto" w:fill="DBDBDB"/>
          </w:tcPr>
          <w:p>
            <w:pPr>
              <w:spacing w:after="0"/>
              <w:rPr>
                <w:sz w:val="20"/>
                <w:szCs w:val="20"/>
                <w:color w:val="auto"/>
              </w:rPr>
            </w:pPr>
          </w:p>
        </w:tc>
        <w:tc>
          <w:tcPr>
            <w:tcW w:w="2360" w:type="dxa"/>
            <w:vAlign w:val="bottom"/>
            <w:shd w:val="clear" w:color="auto" w:fill="DBDBDB"/>
          </w:tcPr>
          <w:p>
            <w:pPr>
              <w:spacing w:after="0"/>
              <w:rPr>
                <w:sz w:val="20"/>
                <w:szCs w:val="20"/>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or restricted stock units</w:t>
            </w:r>
          </w:p>
        </w:tc>
        <w:tc>
          <w:tcPr>
            <w:tcW w:w="0" w:type="dxa"/>
            <w:vAlign w:val="bottom"/>
          </w:tcPr>
          <w:p>
            <w:pPr>
              <w:spacing w:after="0"/>
              <w:rPr>
                <w:sz w:val="1"/>
                <w:szCs w:val="1"/>
                <w:color w:val="auto"/>
              </w:rPr>
            </w:pPr>
          </w:p>
        </w:tc>
      </w:tr>
      <w:tr>
        <w:trPr>
          <w:trHeight w:val="338"/>
        </w:trPr>
        <w:tc>
          <w:tcPr>
            <w:tcW w:w="19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Non-Employee Directors</w:t>
            </w:r>
          </w:p>
        </w:tc>
        <w:tc>
          <w:tcPr>
            <w:tcW w:w="23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5x current annual cash retainer</w:t>
            </w:r>
          </w:p>
        </w:tc>
        <w:tc>
          <w:tcPr>
            <w:tcW w:w="4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Time-based vesting restricted stock or restricted</w:t>
            </w:r>
          </w:p>
        </w:tc>
        <w:tc>
          <w:tcPr>
            <w:tcW w:w="0" w:type="dxa"/>
            <w:vAlign w:val="bottom"/>
          </w:tcPr>
          <w:p>
            <w:pPr>
              <w:spacing w:after="0"/>
              <w:rPr>
                <w:sz w:val="1"/>
                <w:szCs w:val="1"/>
                <w:color w:val="auto"/>
              </w:rPr>
            </w:pPr>
          </w:p>
        </w:tc>
      </w:tr>
      <w:tr>
        <w:trPr>
          <w:trHeight w:val="76"/>
        </w:trPr>
        <w:tc>
          <w:tcPr>
            <w:tcW w:w="1960" w:type="dxa"/>
            <w:vAlign w:val="bottom"/>
            <w:shd w:val="clear" w:color="auto" w:fill="DBDBDB"/>
          </w:tcPr>
          <w:p>
            <w:pPr>
              <w:spacing w:after="0"/>
              <w:rPr>
                <w:sz w:val="6"/>
                <w:szCs w:val="6"/>
                <w:color w:val="auto"/>
              </w:rPr>
            </w:pPr>
          </w:p>
        </w:tc>
        <w:tc>
          <w:tcPr>
            <w:tcW w:w="2360" w:type="dxa"/>
            <w:vAlign w:val="bottom"/>
            <w:shd w:val="clear" w:color="auto" w:fill="DBDBDB"/>
          </w:tcPr>
          <w:p>
            <w:pPr>
              <w:spacing w:after="0"/>
              <w:rPr>
                <w:sz w:val="6"/>
                <w:szCs w:val="6"/>
                <w:color w:val="auto"/>
              </w:rPr>
            </w:pPr>
          </w:p>
        </w:tc>
        <w:tc>
          <w:tcPr>
            <w:tcW w:w="4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DBDBDB"/>
          </w:tcPr>
          <w:p>
            <w:pPr>
              <w:spacing w:after="0"/>
              <w:rPr>
                <w:sz w:val="20"/>
                <w:szCs w:val="20"/>
                <w:color w:val="auto"/>
              </w:rPr>
            </w:pPr>
          </w:p>
        </w:tc>
        <w:tc>
          <w:tcPr>
            <w:tcW w:w="2360" w:type="dxa"/>
            <w:vAlign w:val="bottom"/>
            <w:shd w:val="clear" w:color="auto" w:fill="DBDBDB"/>
          </w:tcPr>
          <w:p>
            <w:pPr>
              <w:spacing w:after="0"/>
              <w:rPr>
                <w:sz w:val="20"/>
                <w:szCs w:val="20"/>
                <w:color w:val="auto"/>
              </w:rPr>
            </w:pPr>
          </w:p>
        </w:tc>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units that are unvested and outstanding</w:t>
            </w:r>
          </w:p>
        </w:tc>
        <w:tc>
          <w:tcPr>
            <w:tcW w:w="0" w:type="dxa"/>
            <w:vAlign w:val="bottom"/>
          </w:tcPr>
          <w:p>
            <w:pPr>
              <w:spacing w:after="0"/>
              <w:rPr>
                <w:sz w:val="1"/>
                <w:szCs w:val="1"/>
                <w:color w:val="auto"/>
              </w:rPr>
            </w:pPr>
          </w:p>
        </w:tc>
      </w:tr>
      <w:tr>
        <w:trPr>
          <w:trHeight w:val="54"/>
        </w:trPr>
        <w:tc>
          <w:tcPr>
            <w:tcW w:w="1960" w:type="dxa"/>
            <w:vAlign w:val="bottom"/>
            <w:shd w:val="clear" w:color="auto" w:fill="DBDBDB"/>
          </w:tcPr>
          <w:p>
            <w:pPr>
              <w:spacing w:after="0"/>
              <w:rPr>
                <w:sz w:val="4"/>
                <w:szCs w:val="4"/>
                <w:color w:val="auto"/>
              </w:rPr>
            </w:pPr>
          </w:p>
        </w:tc>
        <w:tc>
          <w:tcPr>
            <w:tcW w:w="2360" w:type="dxa"/>
            <w:vAlign w:val="bottom"/>
            <w:shd w:val="clear" w:color="auto" w:fill="DBDBDB"/>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ownership guidelines are expected to be satisfied within five years of being subject to the stock ownership guidelines and thereafter maintained throughout the duration of the executive officer’s or non-employee director’s tenure with the Company. Until the guideline is met, executive officers and non-employee directors are required to retain an amount equal to 50% of the net shares received from the vesting of all time-based or performance-based restricted stock or restricted stock units.</w:t>
      </w:r>
    </w:p>
    <w:p>
      <w:pPr>
        <w:spacing w:after="0" w:line="183"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As of the last scheduled review, all executive officers and non-employee directors had satisfied their applicable ownership guideline.</w:t>
      </w: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1224" w:right="1440"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Compensation and Benefits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22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compensation described below in the “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xml:space="preserve"> all of our current named executive officers are eligible to participate in our employee broad-based benefit plans, including our medical, dental, vision, life, disability and accidental death and dismemberment insurance plans, in each case on the same basis as all of our other employees. We pay the premiums for the basic life and disability insurance for all of our employees, including our named executive officers.</w:t>
      </w:r>
    </w:p>
    <w:p>
      <w:pPr>
        <w:spacing w:after="0" w:line="18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maintain the Root Retirement 401(k) Plan (the “401(k) Plan”), a broad-based plan that provides eligible U.S. employees with an opportunity to save for retirement on a tax-advantaged basis. Eligible employees are able to defer eligible compensation up to certain Internal Revenue Code (the “Code”) limits, which are updated annually. Currently, we contribute the equivalent of 3% of the eligible employee’s earnings to their 401(k) account regardless of the amount the employee contributes, subject to a one-year vesting requirement from date of hire.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generally do not provide perquisites or other personal benefits to our named executive officers that are not widely made available to all full-time employees u nless they are deemed necessary to help ensure the safety and well-being of our named executive officers . During 2025, none of our named executive officers received perquisites or other personal benefits in the amount of $10,000 or more, except Mr. Timm, who received certain security services.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of the board of directors oversees Root’s compensation programs on behalf of the</w:t>
      </w:r>
    </w:p>
    <w:p>
      <w:pPr>
        <w:spacing w:after="0" w:line="27" w:lineRule="exact"/>
        <w:rPr>
          <w:sz w:val="20"/>
          <w:szCs w:val="20"/>
          <w:color w:val="auto"/>
        </w:rPr>
      </w:pPr>
    </w:p>
    <w:p>
      <w:pPr>
        <w:jc w:val="both"/>
        <w:ind w:left="300" w:right="299"/>
        <w:spacing w:after="0" w:line="260" w:lineRule="auto"/>
        <w:rPr>
          <w:sz w:val="20"/>
          <w:szCs w:val="20"/>
          <w:color w:val="auto"/>
        </w:rPr>
      </w:pPr>
      <w:r>
        <w:rPr>
          <w:rFonts w:ascii="Times New Roman" w:cs="Times New Roman" w:eastAsia="Times New Roman" w:hAnsi="Times New Roman"/>
          <w:sz w:val="18"/>
          <w:szCs w:val="18"/>
          <w:color w:val="auto"/>
        </w:rPr>
        <w:t xml:space="preserve">board of directors. The compensation committee reviewed and discussed with management the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 section included in this Proxy Statement.</w:t>
      </w:r>
    </w:p>
    <w:p>
      <w:pPr>
        <w:spacing w:after="0" w:line="179"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compensation committee recommended to the board of directors that the “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be included in this Proxy Statement and incorporated by reference in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report is provided by the following independent directors who constitute the compensation committee: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Julie Szudarek,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Donna Dorsey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Doug Ulman</w:t>
      </w:r>
    </w:p>
    <w:p>
      <w:pPr>
        <w:spacing w:after="0" w:line="205" w:lineRule="exact"/>
        <w:rPr>
          <w:sz w:val="20"/>
          <w:szCs w:val="20"/>
          <w:color w:val="auto"/>
        </w:rPr>
      </w:pPr>
    </w:p>
    <w:p>
      <w:pPr>
        <w:jc w:val="both"/>
        <w:ind w:left="300" w:right="45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Root under the Securities Act, or the Exchange Act, whether made before or after the date hereof and irrespective of any general incorporation language in any such filing.</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019"/>
          </w:cols>
          <w:pgMar w:left="1440" w:top="1215" w:right="1440" w:bottom="1440" w:gutter="0" w:footer="0" w:header="0"/>
          <w:type w:val="continuous"/>
        </w:sectPr>
      </w:pPr>
    </w:p>
    <w:bookmarkStart w:id="47" w:name="page48"/>
    <w:bookmarkEnd w:id="47"/>
    <w:p>
      <w:pPr>
        <w:ind w:left="2160"/>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EXECUTIVE COMPENSATION TABLES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2025 Summary Compensation Table</w:t>
      </w:r>
    </w:p>
    <w:p>
      <w:pPr>
        <w:spacing w:after="0" w:line="246"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for the fiscal years ended December 31, 2025, December 31, 2024, and December 31, 2023 , as applicable, for our CEO, Chief Financial Officer and our other two named executive officers.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98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40" w:type="dxa"/>
            <w:vAlign w:val="bottom"/>
            <w:tcBorders>
              <w:bottom w:val="single" w:sz="8" w:color="FF5715"/>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Borders>
              <w:bottom w:val="single" w:sz="8" w:color="FF5715"/>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FF5715"/>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1360" w:type="dxa"/>
            <w:vAlign w:val="bottom"/>
            <w:tcBorders>
              <w:bottom w:val="single" w:sz="8" w:color="FF5715"/>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12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(3)</w:t>
            </w:r>
          </w:p>
        </w:tc>
        <w:tc>
          <w:tcPr>
            <w:tcW w:w="860" w:type="dxa"/>
            <w:vAlign w:val="bottom"/>
            <w:tcBorders>
              <w:bottom w:val="single" w:sz="8" w:color="FF5715"/>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8"/>
        </w:trPr>
        <w:tc>
          <w:tcPr>
            <w:tcW w:w="1980" w:type="dxa"/>
            <w:vAlign w:val="bottom"/>
            <w:tcBorders>
              <w:bottom w:val="single" w:sz="8" w:color="DBDBDB"/>
            </w:tcBorders>
            <w:shd w:val="clear" w:color="auto" w:fill="DBDBDB"/>
          </w:tcPr>
          <w:p>
            <w:pPr>
              <w:ind w:left="60"/>
              <w:spacing w:after="0" w:line="151" w:lineRule="exact"/>
              <w:rPr>
                <w:sz w:val="20"/>
                <w:szCs w:val="20"/>
                <w:color w:val="auto"/>
              </w:rPr>
            </w:pPr>
            <w:r>
              <w:rPr>
                <w:rFonts w:ascii="Times New Roman" w:cs="Times New Roman" w:eastAsia="Times New Roman" w:hAnsi="Times New Roman"/>
                <w:sz w:val="14"/>
                <w:szCs w:val="14"/>
                <w:color w:val="auto"/>
              </w:rPr>
              <w:t>Alexander Timm</w:t>
            </w:r>
          </w:p>
        </w:tc>
        <w:tc>
          <w:tcPr>
            <w:tcW w:w="540" w:type="dxa"/>
            <w:vAlign w:val="bottom"/>
            <w:tcBorders>
              <w:bottom w:val="single" w:sz="8" w:color="DBDBDB"/>
            </w:tcBorders>
            <w:shd w:val="clear" w:color="auto" w:fill="DBDBDB"/>
          </w:tcPr>
          <w:p>
            <w:pPr>
              <w:jc w:val="center"/>
              <w:spacing w:after="0" w:line="151" w:lineRule="exact"/>
              <w:rPr>
                <w:sz w:val="20"/>
                <w:szCs w:val="20"/>
                <w:color w:val="auto"/>
              </w:rPr>
            </w:pPr>
            <w:r>
              <w:rPr>
                <w:rFonts w:ascii="Times New Roman" w:cs="Times New Roman" w:eastAsia="Times New Roman" w:hAnsi="Times New Roman"/>
                <w:sz w:val="14"/>
                <w:szCs w:val="14"/>
                <w:color w:val="auto"/>
              </w:rPr>
              <w:t>2025</w:t>
            </w:r>
          </w:p>
        </w:tc>
        <w:tc>
          <w:tcPr>
            <w:tcW w:w="800" w:type="dxa"/>
            <w:vAlign w:val="bottom"/>
            <w:tcBorders>
              <w:bottom w:val="single" w:sz="8" w:color="DBDBDB"/>
            </w:tcBorders>
            <w:shd w:val="clear" w:color="auto" w:fill="DBDBDB"/>
          </w:tcPr>
          <w:p>
            <w:pPr>
              <w:jc w:val="right"/>
              <w:spacing w:after="0" w:line="151" w:lineRule="exact"/>
              <w:rPr>
                <w:sz w:val="20"/>
                <w:szCs w:val="20"/>
                <w:color w:val="auto"/>
              </w:rPr>
            </w:pPr>
            <w:r>
              <w:rPr>
                <w:rFonts w:ascii="Times New Roman" w:cs="Times New Roman" w:eastAsia="Times New Roman" w:hAnsi="Times New Roman"/>
                <w:sz w:val="14"/>
                <w:szCs w:val="14"/>
                <w:color w:val="auto"/>
              </w:rPr>
              <w:t>750,000</w:t>
            </w:r>
          </w:p>
        </w:tc>
        <w:tc>
          <w:tcPr>
            <w:tcW w:w="840" w:type="dxa"/>
            <w:vAlign w:val="bottom"/>
            <w:tcBorders>
              <w:bottom w:val="single" w:sz="8" w:color="DBDBDB"/>
            </w:tcBorders>
            <w:shd w:val="clear" w:color="auto" w:fill="DBDBDB"/>
          </w:tcPr>
          <w:p>
            <w:pPr>
              <w:jc w:val="center"/>
              <w:ind w:right="8"/>
              <w:spacing w:after="0" w:line="15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DBDBDB"/>
            </w:tcBorders>
            <w:shd w:val="clear" w:color="auto" w:fill="DBDBDB"/>
          </w:tcPr>
          <w:p>
            <w:pPr>
              <w:jc w:val="right"/>
              <w:spacing w:after="0" w:line="151" w:lineRule="exact"/>
              <w:rPr>
                <w:sz w:val="20"/>
                <w:szCs w:val="20"/>
                <w:color w:val="auto"/>
              </w:rPr>
            </w:pPr>
            <w:r>
              <w:rPr>
                <w:rFonts w:ascii="Times New Roman" w:cs="Times New Roman" w:eastAsia="Times New Roman" w:hAnsi="Times New Roman"/>
                <w:sz w:val="14"/>
                <w:szCs w:val="14"/>
                <w:color w:val="auto"/>
              </w:rPr>
              <w:t>5,499,875</w:t>
            </w:r>
          </w:p>
        </w:tc>
        <w:tc>
          <w:tcPr>
            <w:tcW w:w="1360" w:type="dxa"/>
            <w:vAlign w:val="bottom"/>
            <w:tcBorders>
              <w:bottom w:val="single" w:sz="8" w:color="DBDBDB"/>
            </w:tcBorders>
            <w:shd w:val="clear" w:color="auto" w:fill="DBDBDB"/>
          </w:tcPr>
          <w:p>
            <w:pPr>
              <w:jc w:val="right"/>
              <w:ind w:right="128"/>
              <w:spacing w:after="0" w:line="151" w:lineRule="exact"/>
              <w:rPr>
                <w:sz w:val="20"/>
                <w:szCs w:val="20"/>
                <w:color w:val="auto"/>
              </w:rPr>
            </w:pPr>
            <w:r>
              <w:rPr>
                <w:rFonts w:ascii="Times New Roman" w:cs="Times New Roman" w:eastAsia="Times New Roman" w:hAnsi="Times New Roman"/>
                <w:sz w:val="14"/>
                <w:szCs w:val="14"/>
                <w:color w:val="auto"/>
              </w:rPr>
              <w:t>1,687,500</w:t>
            </w:r>
          </w:p>
        </w:tc>
        <w:tc>
          <w:tcPr>
            <w:tcW w:w="1280" w:type="dxa"/>
            <w:vAlign w:val="bottom"/>
            <w:tcBorders>
              <w:bottom w:val="single" w:sz="8" w:color="DBDBDB"/>
            </w:tcBorders>
            <w:shd w:val="clear" w:color="auto" w:fill="DBDBDB"/>
          </w:tcPr>
          <w:p>
            <w:pPr>
              <w:jc w:val="right"/>
              <w:ind w:right="288"/>
              <w:spacing w:after="0" w:line="151" w:lineRule="exact"/>
              <w:rPr>
                <w:sz w:val="20"/>
                <w:szCs w:val="20"/>
                <w:color w:val="auto"/>
              </w:rPr>
            </w:pPr>
            <w:r>
              <w:rPr>
                <w:rFonts w:ascii="Times New Roman" w:cs="Times New Roman" w:eastAsia="Times New Roman" w:hAnsi="Times New Roman"/>
                <w:sz w:val="14"/>
                <w:szCs w:val="14"/>
                <w:color w:val="auto"/>
              </w:rPr>
              <w:t>225,973</w:t>
            </w:r>
          </w:p>
        </w:tc>
        <w:tc>
          <w:tcPr>
            <w:tcW w:w="860" w:type="dxa"/>
            <w:vAlign w:val="bottom"/>
            <w:tcBorders>
              <w:bottom w:val="single" w:sz="8" w:color="DBDBDB"/>
            </w:tcBorders>
            <w:shd w:val="clear" w:color="auto" w:fill="DBDBDB"/>
          </w:tcPr>
          <w:p>
            <w:pPr>
              <w:jc w:val="right"/>
              <w:spacing w:after="0" w:line="151" w:lineRule="exact"/>
              <w:rPr>
                <w:sz w:val="20"/>
                <w:szCs w:val="20"/>
                <w:color w:val="auto"/>
              </w:rPr>
            </w:pPr>
            <w:r>
              <w:rPr>
                <w:rFonts w:ascii="Times New Roman" w:cs="Times New Roman" w:eastAsia="Times New Roman" w:hAnsi="Times New Roman"/>
                <w:sz w:val="14"/>
                <w:szCs w:val="14"/>
                <w:color w:val="auto"/>
              </w:rPr>
              <w:t>8,163,348</w:t>
            </w:r>
          </w:p>
        </w:tc>
        <w:tc>
          <w:tcPr>
            <w:tcW w:w="0" w:type="dxa"/>
            <w:vAlign w:val="bottom"/>
          </w:tcPr>
          <w:p>
            <w:pPr>
              <w:spacing w:after="0"/>
              <w:rPr>
                <w:sz w:val="1"/>
                <w:szCs w:val="1"/>
                <w:color w:val="auto"/>
              </w:rPr>
            </w:pPr>
          </w:p>
        </w:tc>
      </w:tr>
      <w:tr>
        <w:trPr>
          <w:trHeight w:val="118"/>
        </w:trPr>
        <w:tc>
          <w:tcPr>
            <w:tcW w:w="1980" w:type="dxa"/>
            <w:vAlign w:val="bottom"/>
            <w:tcBorders>
              <w:top w:val="single" w:sz="8" w:color="DBDBDB"/>
            </w:tcBorders>
            <w:shd w:val="clear" w:color="auto" w:fill="DBDBDB"/>
          </w:tcPr>
          <w:p>
            <w:pPr>
              <w:ind w:left="60"/>
              <w:spacing w:after="0" w:line="119" w:lineRule="exact"/>
              <w:rPr>
                <w:sz w:val="20"/>
                <w:szCs w:val="20"/>
                <w:color w:val="auto"/>
              </w:rPr>
            </w:pPr>
            <w:r>
              <w:rPr>
                <w:rFonts w:ascii="Times New Roman" w:cs="Times New Roman" w:eastAsia="Times New Roman" w:hAnsi="Times New Roman"/>
                <w:sz w:val="13"/>
                <w:szCs w:val="13"/>
                <w:i w:val="1"/>
                <w:iCs w:val="1"/>
                <w:color w:val="auto"/>
              </w:rPr>
              <w:t>Chief Executive Officer</w:t>
            </w:r>
          </w:p>
        </w:tc>
        <w:tc>
          <w:tcPr>
            <w:tcW w:w="540" w:type="dxa"/>
            <w:vAlign w:val="bottom"/>
            <w:tcBorders>
              <w:top w:val="single" w:sz="8" w:color="B6B6B6"/>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Borders>
              <w:top w:val="single" w:sz="8" w:color="B6B6B6"/>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840" w:type="dxa"/>
            <w:vAlign w:val="bottom"/>
            <w:tcBorders>
              <w:top w:val="single" w:sz="8" w:color="B6B6B6"/>
            </w:tcBorders>
            <w:vMerge w:val="restart"/>
            <w:shd w:val="clear" w:color="auto" w:fill="DBDBDB"/>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B6B6B6"/>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6,504,587</w:t>
            </w:r>
          </w:p>
        </w:tc>
        <w:tc>
          <w:tcPr>
            <w:tcW w:w="1360" w:type="dxa"/>
            <w:vAlign w:val="bottom"/>
            <w:tcBorders>
              <w:top w:val="single" w:sz="8" w:color="B6B6B6"/>
            </w:tcBorders>
            <w:vMerge w:val="restart"/>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auto"/>
              </w:rPr>
              <w:t>3,375,000</w:t>
            </w:r>
          </w:p>
        </w:tc>
        <w:tc>
          <w:tcPr>
            <w:tcW w:w="1280" w:type="dxa"/>
            <w:vAlign w:val="bottom"/>
            <w:tcBorders>
              <w:top w:val="single" w:sz="8" w:color="B6B6B6"/>
            </w:tcBorders>
            <w:vMerge w:val="restart"/>
            <w:shd w:val="clear" w:color="auto" w:fill="DBDBDB"/>
          </w:tcPr>
          <w:p>
            <w:pPr>
              <w:jc w:val="right"/>
              <w:ind w:right="288"/>
              <w:spacing w:after="0"/>
              <w:rPr>
                <w:sz w:val="20"/>
                <w:szCs w:val="20"/>
                <w:color w:val="auto"/>
              </w:rPr>
            </w:pPr>
            <w:r>
              <w:rPr>
                <w:rFonts w:ascii="Times New Roman" w:cs="Times New Roman" w:eastAsia="Times New Roman" w:hAnsi="Times New Roman"/>
                <w:sz w:val="14"/>
                <w:szCs w:val="14"/>
                <w:color w:val="auto"/>
              </w:rPr>
              <w:t>23,533</w:t>
            </w:r>
          </w:p>
        </w:tc>
        <w:tc>
          <w:tcPr>
            <w:tcW w:w="860" w:type="dxa"/>
            <w:vAlign w:val="bottom"/>
            <w:tcBorders>
              <w:top w:val="single" w:sz="8" w:color="B6B6B6"/>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10,653,120</w:t>
            </w:r>
          </w:p>
        </w:tc>
        <w:tc>
          <w:tcPr>
            <w:tcW w:w="0" w:type="dxa"/>
            <w:vAlign w:val="bottom"/>
          </w:tcPr>
          <w:p>
            <w:pPr>
              <w:spacing w:after="0"/>
              <w:rPr>
                <w:sz w:val="1"/>
                <w:szCs w:val="1"/>
                <w:color w:val="auto"/>
              </w:rPr>
            </w:pPr>
          </w:p>
        </w:tc>
      </w:tr>
      <w:tr>
        <w:trPr>
          <w:trHeight w:val="71"/>
        </w:trPr>
        <w:tc>
          <w:tcPr>
            <w:tcW w:w="1980" w:type="dxa"/>
            <w:vAlign w:val="bottom"/>
            <w:tcBorders>
              <w:bottom w:val="single" w:sz="8" w:color="DBDBDB"/>
            </w:tcBorders>
            <w:shd w:val="clear" w:color="auto" w:fill="DBDBDB"/>
          </w:tcPr>
          <w:p>
            <w:pPr>
              <w:spacing w:after="0"/>
              <w:rPr>
                <w:sz w:val="6"/>
                <w:szCs w:val="6"/>
                <w:color w:val="auto"/>
              </w:rPr>
            </w:pPr>
          </w:p>
        </w:tc>
        <w:tc>
          <w:tcPr>
            <w:tcW w:w="540" w:type="dxa"/>
            <w:vAlign w:val="bottom"/>
            <w:tcBorders>
              <w:bottom w:val="single" w:sz="8" w:color="B6B6B6"/>
            </w:tcBorders>
            <w:vMerge w:val="continue"/>
            <w:shd w:val="clear" w:color="auto" w:fill="DBDBDB"/>
          </w:tcPr>
          <w:p>
            <w:pPr>
              <w:spacing w:after="0"/>
              <w:rPr>
                <w:sz w:val="6"/>
                <w:szCs w:val="6"/>
                <w:color w:val="auto"/>
              </w:rPr>
            </w:pPr>
          </w:p>
        </w:tc>
        <w:tc>
          <w:tcPr>
            <w:tcW w:w="800" w:type="dxa"/>
            <w:vAlign w:val="bottom"/>
            <w:tcBorders>
              <w:bottom w:val="single" w:sz="8" w:color="B6B6B6"/>
            </w:tcBorders>
            <w:vMerge w:val="continue"/>
            <w:shd w:val="clear" w:color="auto" w:fill="DBDBDB"/>
          </w:tcPr>
          <w:p>
            <w:pPr>
              <w:spacing w:after="0"/>
              <w:rPr>
                <w:sz w:val="6"/>
                <w:szCs w:val="6"/>
                <w:color w:val="auto"/>
              </w:rPr>
            </w:pPr>
          </w:p>
        </w:tc>
        <w:tc>
          <w:tcPr>
            <w:tcW w:w="840" w:type="dxa"/>
            <w:vAlign w:val="bottom"/>
            <w:tcBorders>
              <w:bottom w:val="single" w:sz="8" w:color="B6B6B6"/>
            </w:tcBorders>
            <w:vMerge w:val="continue"/>
            <w:shd w:val="clear" w:color="auto" w:fill="DBDBDB"/>
          </w:tcPr>
          <w:p>
            <w:pPr>
              <w:spacing w:after="0"/>
              <w:rPr>
                <w:sz w:val="6"/>
                <w:szCs w:val="6"/>
                <w:color w:val="auto"/>
              </w:rPr>
            </w:pPr>
          </w:p>
        </w:tc>
        <w:tc>
          <w:tcPr>
            <w:tcW w:w="760" w:type="dxa"/>
            <w:vAlign w:val="bottom"/>
            <w:tcBorders>
              <w:bottom w:val="single" w:sz="8" w:color="B6B6B6"/>
            </w:tcBorders>
            <w:vMerge w:val="continue"/>
            <w:shd w:val="clear" w:color="auto" w:fill="DBDBDB"/>
          </w:tcPr>
          <w:p>
            <w:pPr>
              <w:spacing w:after="0"/>
              <w:rPr>
                <w:sz w:val="6"/>
                <w:szCs w:val="6"/>
                <w:color w:val="auto"/>
              </w:rPr>
            </w:pPr>
          </w:p>
        </w:tc>
        <w:tc>
          <w:tcPr>
            <w:tcW w:w="1360" w:type="dxa"/>
            <w:vAlign w:val="bottom"/>
            <w:tcBorders>
              <w:bottom w:val="single" w:sz="8" w:color="B6B6B6"/>
            </w:tcBorders>
            <w:vMerge w:val="continue"/>
            <w:shd w:val="clear" w:color="auto" w:fill="DBDBDB"/>
          </w:tcPr>
          <w:p>
            <w:pPr>
              <w:spacing w:after="0"/>
              <w:rPr>
                <w:sz w:val="6"/>
                <w:szCs w:val="6"/>
                <w:color w:val="auto"/>
              </w:rPr>
            </w:pPr>
          </w:p>
        </w:tc>
        <w:tc>
          <w:tcPr>
            <w:tcW w:w="1280" w:type="dxa"/>
            <w:vAlign w:val="bottom"/>
            <w:tcBorders>
              <w:bottom w:val="single" w:sz="8" w:color="B6B6B6"/>
            </w:tcBorders>
            <w:vMerge w:val="continue"/>
            <w:shd w:val="clear" w:color="auto" w:fill="DBDBDB"/>
          </w:tcPr>
          <w:p>
            <w:pPr>
              <w:spacing w:after="0"/>
              <w:rPr>
                <w:sz w:val="6"/>
                <w:szCs w:val="6"/>
                <w:color w:val="auto"/>
              </w:rPr>
            </w:pPr>
          </w:p>
        </w:tc>
        <w:tc>
          <w:tcPr>
            <w:tcW w:w="860" w:type="dxa"/>
            <w:vAlign w:val="bottom"/>
            <w:tcBorders>
              <w:bottom w:val="single" w:sz="8" w:color="B6B6B6"/>
            </w:tcBorders>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80" w:type="dxa"/>
            <w:vAlign w:val="bottom"/>
            <w:shd w:val="clear" w:color="auto" w:fill="DBDBDB"/>
          </w:tcPr>
          <w:p>
            <w:pPr>
              <w:spacing w:after="0"/>
              <w:rPr>
                <w:sz w:val="17"/>
                <w:szCs w:val="17"/>
                <w:color w:val="auto"/>
              </w:rPr>
            </w:pPr>
          </w:p>
        </w:tc>
        <w:tc>
          <w:tcPr>
            <w:tcW w:w="54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840" w:type="dxa"/>
            <w:vAlign w:val="bottom"/>
            <w:tcBorders>
              <w:bottom w:val="single" w:sz="8" w:color="B6B6B6"/>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2,600,000</w:t>
            </w:r>
          </w:p>
        </w:tc>
        <w:tc>
          <w:tcPr>
            <w:tcW w:w="76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2,121,471</w:t>
            </w:r>
          </w:p>
        </w:tc>
        <w:tc>
          <w:tcPr>
            <w:tcW w:w="1360" w:type="dxa"/>
            <w:vAlign w:val="bottom"/>
            <w:tcBorders>
              <w:bottom w:val="single" w:sz="8" w:color="B6B6B6"/>
            </w:tcBorders>
            <w:shd w:val="clear" w:color="auto" w:fill="DBDBDB"/>
          </w:tcPr>
          <w:p>
            <w:pPr>
              <w:jc w:val="right"/>
              <w:ind w:right="128"/>
              <w:spacing w:after="0"/>
              <w:rPr>
                <w:sz w:val="20"/>
                <w:szCs w:val="20"/>
                <w:color w:val="auto"/>
              </w:rPr>
            </w:pPr>
            <w:r>
              <w:rPr>
                <w:rFonts w:ascii="Times New Roman" w:cs="Times New Roman" w:eastAsia="Times New Roman" w:hAnsi="Times New Roman"/>
                <w:sz w:val="14"/>
                <w:szCs w:val="14"/>
                <w:color w:val="auto"/>
              </w:rPr>
              <w:t>3,206,250</w:t>
            </w:r>
          </w:p>
        </w:tc>
        <w:tc>
          <w:tcPr>
            <w:tcW w:w="1280" w:type="dxa"/>
            <w:vAlign w:val="bottom"/>
            <w:tcBorders>
              <w:bottom w:val="single" w:sz="8" w:color="B6B6B6"/>
            </w:tcBorders>
            <w:shd w:val="clear" w:color="auto" w:fill="DBDBDB"/>
          </w:tcPr>
          <w:p>
            <w:pPr>
              <w:jc w:val="right"/>
              <w:ind w:right="288"/>
              <w:spacing w:after="0"/>
              <w:rPr>
                <w:sz w:val="20"/>
                <w:szCs w:val="20"/>
                <w:color w:val="auto"/>
              </w:rPr>
            </w:pPr>
            <w:r>
              <w:rPr>
                <w:rFonts w:ascii="Times New Roman" w:cs="Times New Roman" w:eastAsia="Times New Roman" w:hAnsi="Times New Roman"/>
                <w:sz w:val="14"/>
                <w:szCs w:val="14"/>
                <w:color w:val="auto"/>
              </w:rPr>
              <w:t>10,085</w:t>
            </w:r>
          </w:p>
        </w:tc>
        <w:tc>
          <w:tcPr>
            <w:tcW w:w="86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8,687,806</w:t>
            </w:r>
          </w:p>
        </w:tc>
        <w:tc>
          <w:tcPr>
            <w:tcW w:w="0" w:type="dxa"/>
            <w:vAlign w:val="bottom"/>
          </w:tcPr>
          <w:p>
            <w:pPr>
              <w:spacing w:after="0"/>
              <w:rPr>
                <w:sz w:val="1"/>
                <w:szCs w:val="1"/>
                <w:color w:val="auto"/>
              </w:rPr>
            </w:pPr>
          </w:p>
        </w:tc>
      </w:tr>
      <w:tr>
        <w:trPr>
          <w:trHeight w:val="144"/>
        </w:trPr>
        <w:tc>
          <w:tcPr>
            <w:tcW w:w="198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Megan Binkley</w:t>
            </w:r>
          </w:p>
        </w:tc>
        <w:tc>
          <w:tcPr>
            <w:tcW w:w="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2025</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484,704</w:t>
            </w: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2,624,972</w:t>
            </w:r>
          </w:p>
        </w:tc>
        <w:tc>
          <w:tcPr>
            <w:tcW w:w="1360" w:type="dxa"/>
            <w:vAlign w:val="bottom"/>
          </w:tcPr>
          <w:p>
            <w:pPr>
              <w:jc w:val="right"/>
              <w:ind w:right="148"/>
              <w:spacing w:after="0" w:line="145" w:lineRule="exact"/>
              <w:rPr>
                <w:sz w:val="20"/>
                <w:szCs w:val="20"/>
                <w:color w:val="auto"/>
              </w:rPr>
            </w:pPr>
            <w:r>
              <w:rPr>
                <w:rFonts w:ascii="Times New Roman" w:cs="Times New Roman" w:eastAsia="Times New Roman" w:hAnsi="Times New Roman"/>
                <w:sz w:val="14"/>
                <w:szCs w:val="14"/>
                <w:color w:val="auto"/>
              </w:rPr>
              <w:t>562,500</w:t>
            </w:r>
          </w:p>
        </w:tc>
        <w:tc>
          <w:tcPr>
            <w:tcW w:w="1280" w:type="dxa"/>
            <w:vAlign w:val="bottom"/>
          </w:tcPr>
          <w:p>
            <w:pPr>
              <w:jc w:val="right"/>
              <w:ind w:right="288"/>
              <w:spacing w:after="0" w:line="145" w:lineRule="exact"/>
              <w:rPr>
                <w:sz w:val="20"/>
                <w:szCs w:val="20"/>
                <w:color w:val="auto"/>
              </w:rPr>
            </w:pPr>
            <w:r>
              <w:rPr>
                <w:rFonts w:ascii="Times New Roman" w:cs="Times New Roman" w:eastAsia="Times New Roman" w:hAnsi="Times New Roman"/>
                <w:sz w:val="14"/>
                <w:szCs w:val="14"/>
                <w:color w:val="auto"/>
              </w:rPr>
              <w:t>10,685</w:t>
            </w: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3,682,861</w:t>
            </w:r>
          </w:p>
        </w:tc>
        <w:tc>
          <w:tcPr>
            <w:tcW w:w="0" w:type="dxa"/>
            <w:vAlign w:val="bottom"/>
          </w:tcPr>
          <w:p>
            <w:pPr>
              <w:spacing w:after="0"/>
              <w:rPr>
                <w:sz w:val="1"/>
                <w:szCs w:val="1"/>
                <w:color w:val="auto"/>
              </w:rPr>
            </w:pPr>
          </w:p>
        </w:tc>
      </w:tr>
      <w:tr>
        <w:trPr>
          <w:trHeight w:val="52"/>
        </w:trPr>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540" w:type="dxa"/>
            <w:vAlign w:val="bottom"/>
            <w:tcBorders>
              <w:bottom w:val="single" w:sz="8" w:color="B6B6B6"/>
            </w:tcBorders>
          </w:tcPr>
          <w:p>
            <w:pPr>
              <w:spacing w:after="0"/>
              <w:rPr>
                <w:sz w:val="4"/>
                <w:szCs w:val="4"/>
                <w:color w:val="auto"/>
              </w:rPr>
            </w:pPr>
          </w:p>
        </w:tc>
        <w:tc>
          <w:tcPr>
            <w:tcW w:w="80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76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1280" w:type="dxa"/>
            <w:vAlign w:val="bottom"/>
            <w:tcBorders>
              <w:bottom w:val="single" w:sz="8" w:color="B6B6B6"/>
            </w:tcBorders>
          </w:tcPr>
          <w:p>
            <w:pPr>
              <w:spacing w:after="0"/>
              <w:rPr>
                <w:sz w:val="4"/>
                <w:szCs w:val="4"/>
                <w:color w:val="auto"/>
              </w:rPr>
            </w:pPr>
          </w:p>
        </w:tc>
        <w:tc>
          <w:tcPr>
            <w:tcW w:w="8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980" w:type="dxa"/>
            <w:vAlign w:val="bottom"/>
            <w:vMerge w:val="continue"/>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449,846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2,838,942</w:t>
            </w:r>
          </w:p>
        </w:tc>
        <w:tc>
          <w:tcPr>
            <w:tcW w:w="13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1,032,750</w:t>
            </w:r>
          </w:p>
        </w:tc>
        <w:tc>
          <w:tcPr>
            <w:tcW w:w="12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10,425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4,331,963</w:t>
            </w:r>
          </w:p>
        </w:tc>
        <w:tc>
          <w:tcPr>
            <w:tcW w:w="0" w:type="dxa"/>
            <w:vAlign w:val="bottom"/>
          </w:tcPr>
          <w:p>
            <w:pPr>
              <w:spacing w:after="0"/>
              <w:rPr>
                <w:sz w:val="1"/>
                <w:szCs w:val="1"/>
                <w:color w:val="auto"/>
              </w:rPr>
            </w:pPr>
          </w:p>
        </w:tc>
      </w:tr>
      <w:tr>
        <w:trPr>
          <w:trHeight w:val="73"/>
        </w:trPr>
        <w:tc>
          <w:tcPr>
            <w:tcW w:w="19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98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Mahtiyar Bonakdarpour</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4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3,699,991</w:t>
            </w:r>
          </w:p>
        </w:tc>
        <w:tc>
          <w:tcPr>
            <w:tcW w:w="1360" w:type="dxa"/>
            <w:vAlign w:val="bottom"/>
            <w:tcBorders>
              <w:bottom w:val="single" w:sz="8" w:color="DBDBDB"/>
            </w:tcBorders>
            <w:shd w:val="clear" w:color="auto" w:fill="DBDBDB"/>
          </w:tcPr>
          <w:p>
            <w:pPr>
              <w:jc w:val="right"/>
              <w:ind w:right="148"/>
              <w:spacing w:after="0"/>
              <w:rPr>
                <w:sz w:val="20"/>
                <w:szCs w:val="20"/>
                <w:color w:val="auto"/>
              </w:rPr>
            </w:pPr>
            <w:r>
              <w:rPr>
                <w:rFonts w:ascii="Times New Roman" w:cs="Times New Roman" w:eastAsia="Times New Roman" w:hAnsi="Times New Roman"/>
                <w:sz w:val="14"/>
                <w:szCs w:val="14"/>
                <w:color w:val="auto"/>
              </w:rPr>
              <w:t>825,000</w:t>
            </w:r>
          </w:p>
        </w:tc>
        <w:tc>
          <w:tcPr>
            <w:tcW w:w="1280" w:type="dxa"/>
            <w:vAlign w:val="bottom"/>
            <w:tcBorders>
              <w:bottom w:val="single" w:sz="8" w:color="DBDBDB"/>
            </w:tcBorders>
            <w:shd w:val="clear" w:color="auto" w:fill="DBDBDB"/>
          </w:tcPr>
          <w:p>
            <w:pPr>
              <w:jc w:val="right"/>
              <w:ind w:right="288"/>
              <w:spacing w:after="0"/>
              <w:rPr>
                <w:sz w:val="20"/>
                <w:szCs w:val="20"/>
                <w:color w:val="auto"/>
              </w:rPr>
            </w:pPr>
            <w:r>
              <w:rPr>
                <w:rFonts w:ascii="Times New Roman" w:cs="Times New Roman" w:eastAsia="Times New Roman" w:hAnsi="Times New Roman"/>
                <w:sz w:val="14"/>
                <w:szCs w:val="14"/>
                <w:color w:val="auto"/>
              </w:rPr>
              <w:t>10,685</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5,085,676</w:t>
            </w:r>
          </w:p>
        </w:tc>
        <w:tc>
          <w:tcPr>
            <w:tcW w:w="0" w:type="dxa"/>
            <w:vAlign w:val="bottom"/>
          </w:tcPr>
          <w:p>
            <w:pPr>
              <w:spacing w:after="0"/>
              <w:rPr>
                <w:sz w:val="1"/>
                <w:szCs w:val="1"/>
                <w:color w:val="auto"/>
              </w:rPr>
            </w:pPr>
          </w:p>
        </w:tc>
      </w:tr>
      <w:tr>
        <w:trPr>
          <w:trHeight w:val="90"/>
        </w:trPr>
        <w:tc>
          <w:tcPr>
            <w:tcW w:w="1980" w:type="dxa"/>
            <w:vAlign w:val="bottom"/>
            <w:tcBorders>
              <w:top w:val="single" w:sz="8" w:color="DBDBDB"/>
            </w:tcBorders>
            <w:shd w:val="clear" w:color="auto" w:fill="DBDBDB"/>
          </w:tcPr>
          <w:p>
            <w:pPr>
              <w:ind w:left="60"/>
              <w:spacing w:after="0" w:line="91" w:lineRule="exact"/>
              <w:rPr>
                <w:sz w:val="20"/>
                <w:szCs w:val="20"/>
                <w:color w:val="auto"/>
              </w:rPr>
            </w:pPr>
            <w:r>
              <w:rPr>
                <w:rFonts w:ascii="Times New Roman" w:cs="Times New Roman" w:eastAsia="Times New Roman" w:hAnsi="Times New Roman"/>
                <w:sz w:val="10"/>
                <w:szCs w:val="10"/>
                <w:i w:val="1"/>
                <w:iCs w:val="1"/>
                <w:color w:val="auto"/>
              </w:rPr>
              <w:t>President &amp; Chief Technology</w:t>
            </w:r>
          </w:p>
        </w:tc>
        <w:tc>
          <w:tcPr>
            <w:tcW w:w="540" w:type="dxa"/>
            <w:vAlign w:val="bottom"/>
            <w:tcBorders>
              <w:top w:val="single" w:sz="8" w:color="B6B6B6"/>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Borders>
              <w:top w:val="single" w:sz="8" w:color="B6B6B6"/>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541,346</w:t>
            </w:r>
          </w:p>
        </w:tc>
        <w:tc>
          <w:tcPr>
            <w:tcW w:w="840" w:type="dxa"/>
            <w:vAlign w:val="bottom"/>
            <w:tcBorders>
              <w:top w:val="single" w:sz="8" w:color="B6B6B6"/>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B6B6B6"/>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5,001,939</w:t>
            </w:r>
          </w:p>
        </w:tc>
        <w:tc>
          <w:tcPr>
            <w:tcW w:w="1360" w:type="dxa"/>
            <w:vAlign w:val="bottom"/>
            <w:tcBorders>
              <w:top w:val="single" w:sz="8" w:color="B6B6B6"/>
            </w:tcBorders>
            <w:vMerge w:val="restart"/>
            <w:shd w:val="clear" w:color="auto" w:fill="DBDBDB"/>
          </w:tcPr>
          <w:p>
            <w:pPr>
              <w:jc w:val="right"/>
              <w:ind w:right="148"/>
              <w:spacing w:after="0"/>
              <w:rPr>
                <w:sz w:val="20"/>
                <w:szCs w:val="20"/>
                <w:color w:val="auto"/>
              </w:rPr>
            </w:pPr>
            <w:r>
              <w:rPr>
                <w:rFonts w:ascii="Times New Roman" w:cs="Times New Roman" w:eastAsia="Times New Roman" w:hAnsi="Times New Roman"/>
                <w:sz w:val="14"/>
                <w:szCs w:val="14"/>
                <w:color w:val="auto"/>
              </w:rPr>
              <w:t>1,650,000</w:t>
            </w:r>
          </w:p>
        </w:tc>
        <w:tc>
          <w:tcPr>
            <w:tcW w:w="1280" w:type="dxa"/>
            <w:vAlign w:val="bottom"/>
            <w:tcBorders>
              <w:top w:val="single" w:sz="8" w:color="B6B6B6"/>
            </w:tcBorders>
            <w:vMerge w:val="restart"/>
            <w:shd w:val="clear" w:color="auto" w:fill="DBDBDB"/>
          </w:tcPr>
          <w:p>
            <w:pPr>
              <w:jc w:val="right"/>
              <w:ind w:right="288"/>
              <w:spacing w:after="0"/>
              <w:rPr>
                <w:sz w:val="20"/>
                <w:szCs w:val="20"/>
                <w:color w:val="auto"/>
              </w:rPr>
            </w:pPr>
            <w:r>
              <w:rPr>
                <w:rFonts w:ascii="Times New Roman" w:cs="Times New Roman" w:eastAsia="Times New Roman" w:hAnsi="Times New Roman"/>
                <w:sz w:val="14"/>
                <w:szCs w:val="14"/>
                <w:color w:val="auto"/>
              </w:rPr>
              <w:t>5,757</w:t>
            </w:r>
          </w:p>
        </w:tc>
        <w:tc>
          <w:tcPr>
            <w:tcW w:w="860" w:type="dxa"/>
            <w:vAlign w:val="bottom"/>
            <w:tcBorders>
              <w:top w:val="single" w:sz="8" w:color="B6B6B6"/>
            </w:tcBorders>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7,199,042</w:t>
            </w:r>
          </w:p>
        </w:tc>
        <w:tc>
          <w:tcPr>
            <w:tcW w:w="0" w:type="dxa"/>
            <w:vAlign w:val="bottom"/>
          </w:tcPr>
          <w:p>
            <w:pPr>
              <w:spacing w:after="0"/>
              <w:rPr>
                <w:sz w:val="1"/>
                <w:szCs w:val="1"/>
                <w:color w:val="auto"/>
              </w:rPr>
            </w:pPr>
          </w:p>
        </w:tc>
      </w:tr>
      <w:tr>
        <w:trPr>
          <w:trHeight w:val="104"/>
        </w:trPr>
        <w:tc>
          <w:tcPr>
            <w:tcW w:w="1980" w:type="dxa"/>
            <w:vAlign w:val="bottom"/>
            <w:tcBorders>
              <w:bottom w:val="single" w:sz="8" w:color="DBDBDB"/>
            </w:tcBorders>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540" w:type="dxa"/>
            <w:vAlign w:val="bottom"/>
            <w:tcBorders>
              <w:bottom w:val="single" w:sz="8" w:color="B6B6B6"/>
            </w:tcBorders>
            <w:vMerge w:val="continue"/>
            <w:shd w:val="clear" w:color="auto" w:fill="DBDBDB"/>
          </w:tcPr>
          <w:p>
            <w:pPr>
              <w:spacing w:after="0"/>
              <w:rPr>
                <w:sz w:val="8"/>
                <w:szCs w:val="8"/>
                <w:color w:val="auto"/>
              </w:rPr>
            </w:pPr>
          </w:p>
        </w:tc>
        <w:tc>
          <w:tcPr>
            <w:tcW w:w="800" w:type="dxa"/>
            <w:vAlign w:val="bottom"/>
            <w:tcBorders>
              <w:bottom w:val="single" w:sz="8" w:color="B6B6B6"/>
            </w:tcBorders>
            <w:vMerge w:val="continue"/>
            <w:shd w:val="clear" w:color="auto" w:fill="DBDBDB"/>
          </w:tcPr>
          <w:p>
            <w:pPr>
              <w:spacing w:after="0"/>
              <w:rPr>
                <w:sz w:val="8"/>
                <w:szCs w:val="8"/>
                <w:color w:val="auto"/>
              </w:rPr>
            </w:pPr>
          </w:p>
        </w:tc>
        <w:tc>
          <w:tcPr>
            <w:tcW w:w="840" w:type="dxa"/>
            <w:vAlign w:val="bottom"/>
            <w:tcBorders>
              <w:bottom w:val="single" w:sz="8" w:color="B6B6B6"/>
            </w:tcBorders>
            <w:vMerge w:val="continue"/>
            <w:shd w:val="clear" w:color="auto" w:fill="DBDBDB"/>
          </w:tcPr>
          <w:p>
            <w:pPr>
              <w:spacing w:after="0"/>
              <w:rPr>
                <w:sz w:val="8"/>
                <w:szCs w:val="8"/>
                <w:color w:val="auto"/>
              </w:rPr>
            </w:pPr>
          </w:p>
        </w:tc>
        <w:tc>
          <w:tcPr>
            <w:tcW w:w="760" w:type="dxa"/>
            <w:vAlign w:val="bottom"/>
            <w:tcBorders>
              <w:bottom w:val="single" w:sz="8" w:color="B6B6B6"/>
            </w:tcBorders>
            <w:vMerge w:val="continue"/>
            <w:shd w:val="clear" w:color="auto" w:fill="DBDBDB"/>
          </w:tcPr>
          <w:p>
            <w:pPr>
              <w:spacing w:after="0"/>
              <w:rPr>
                <w:sz w:val="8"/>
                <w:szCs w:val="8"/>
                <w:color w:val="auto"/>
              </w:rPr>
            </w:pPr>
          </w:p>
        </w:tc>
        <w:tc>
          <w:tcPr>
            <w:tcW w:w="1360" w:type="dxa"/>
            <w:vAlign w:val="bottom"/>
            <w:tcBorders>
              <w:bottom w:val="single" w:sz="8" w:color="B6B6B6"/>
            </w:tcBorders>
            <w:vMerge w:val="continue"/>
            <w:shd w:val="clear" w:color="auto" w:fill="DBDBDB"/>
          </w:tcPr>
          <w:p>
            <w:pPr>
              <w:spacing w:after="0"/>
              <w:rPr>
                <w:sz w:val="8"/>
                <w:szCs w:val="8"/>
                <w:color w:val="auto"/>
              </w:rPr>
            </w:pPr>
          </w:p>
        </w:tc>
        <w:tc>
          <w:tcPr>
            <w:tcW w:w="1280" w:type="dxa"/>
            <w:vAlign w:val="bottom"/>
            <w:tcBorders>
              <w:bottom w:val="single" w:sz="8" w:color="B6B6B6"/>
            </w:tcBorders>
            <w:vMerge w:val="continue"/>
            <w:shd w:val="clear" w:color="auto" w:fill="DBDBDB"/>
          </w:tcPr>
          <w:p>
            <w:pPr>
              <w:spacing w:after="0"/>
              <w:rPr>
                <w:sz w:val="8"/>
                <w:szCs w:val="8"/>
                <w:color w:val="auto"/>
              </w:rPr>
            </w:pPr>
          </w:p>
        </w:tc>
        <w:tc>
          <w:tcPr>
            <w:tcW w:w="860" w:type="dxa"/>
            <w:vAlign w:val="bottom"/>
            <w:tcBorders>
              <w:bottom w:val="single" w:sz="8" w:color="B6B6B6"/>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980" w:type="dxa"/>
            <w:vAlign w:val="bottom"/>
            <w:vMerge w:val="continue"/>
            <w:shd w:val="clear" w:color="auto" w:fill="DBDBDB"/>
          </w:tcPr>
          <w:p>
            <w:pPr>
              <w:spacing w:after="0"/>
              <w:rPr>
                <w:sz w:val="6"/>
                <w:szCs w:val="6"/>
                <w:color w:val="auto"/>
              </w:rPr>
            </w:pPr>
          </w:p>
        </w:tc>
        <w:tc>
          <w:tcPr>
            <w:tcW w:w="5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40" w:type="dxa"/>
            <w:vAlign w:val="bottom"/>
            <w:vMerge w:val="restart"/>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1,275,000</w:t>
            </w:r>
          </w:p>
        </w:tc>
        <w:tc>
          <w:tcPr>
            <w:tcW w:w="7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1,503,127</w:t>
            </w:r>
          </w:p>
        </w:tc>
        <w:tc>
          <w:tcPr>
            <w:tcW w:w="1360" w:type="dxa"/>
            <w:vAlign w:val="bottom"/>
            <w:vMerge w:val="restart"/>
            <w:shd w:val="clear" w:color="auto" w:fill="DBDBDB"/>
          </w:tcPr>
          <w:p>
            <w:pPr>
              <w:jc w:val="right"/>
              <w:ind w:right="148"/>
              <w:spacing w:after="0"/>
              <w:rPr>
                <w:sz w:val="20"/>
                <w:szCs w:val="20"/>
                <w:color w:val="auto"/>
              </w:rPr>
            </w:pPr>
            <w:r>
              <w:rPr>
                <w:rFonts w:ascii="Times New Roman" w:cs="Times New Roman" w:eastAsia="Times New Roman" w:hAnsi="Times New Roman"/>
                <w:sz w:val="14"/>
                <w:szCs w:val="14"/>
                <w:color w:val="auto"/>
              </w:rPr>
              <w:t>900,000</w:t>
            </w:r>
          </w:p>
        </w:tc>
        <w:tc>
          <w:tcPr>
            <w:tcW w:w="1280" w:type="dxa"/>
            <w:vAlign w:val="bottom"/>
            <w:vMerge w:val="restart"/>
            <w:shd w:val="clear" w:color="auto" w:fill="DBDBDB"/>
          </w:tcPr>
          <w:p>
            <w:pPr>
              <w:jc w:val="right"/>
              <w:ind w:right="288"/>
              <w:spacing w:after="0"/>
              <w:rPr>
                <w:sz w:val="20"/>
                <w:szCs w:val="20"/>
                <w:color w:val="auto"/>
              </w:rPr>
            </w:pPr>
            <w:r>
              <w:rPr>
                <w:rFonts w:ascii="Times New Roman" w:cs="Times New Roman" w:eastAsia="Times New Roman" w:hAnsi="Times New Roman"/>
                <w:sz w:val="14"/>
                <w:szCs w:val="14"/>
                <w:color w:val="auto"/>
              </w:rPr>
              <w:t>10,085</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4,188,212</w:t>
            </w:r>
          </w:p>
        </w:tc>
        <w:tc>
          <w:tcPr>
            <w:tcW w:w="0" w:type="dxa"/>
            <w:vAlign w:val="bottom"/>
          </w:tcPr>
          <w:p>
            <w:pPr>
              <w:spacing w:after="0"/>
              <w:rPr>
                <w:sz w:val="1"/>
                <w:szCs w:val="1"/>
                <w:color w:val="auto"/>
              </w:rPr>
            </w:pPr>
          </w:p>
        </w:tc>
      </w:tr>
      <w:tr>
        <w:trPr>
          <w:trHeight w:val="132"/>
        </w:trPr>
        <w:tc>
          <w:tcPr>
            <w:tcW w:w="1980" w:type="dxa"/>
            <w:vAlign w:val="bottom"/>
            <w:shd w:val="clear" w:color="auto" w:fill="DBDBDB"/>
          </w:tcPr>
          <w:p>
            <w:pPr>
              <w:spacing w:after="0"/>
              <w:rPr>
                <w:sz w:val="11"/>
                <w:szCs w:val="11"/>
                <w:color w:val="auto"/>
              </w:rPr>
            </w:pPr>
          </w:p>
        </w:tc>
        <w:tc>
          <w:tcPr>
            <w:tcW w:w="540" w:type="dxa"/>
            <w:vAlign w:val="bottom"/>
            <w:vMerge w:val="continue"/>
            <w:shd w:val="clear" w:color="auto" w:fill="DBDBDB"/>
          </w:tcPr>
          <w:p>
            <w:pPr>
              <w:spacing w:after="0"/>
              <w:rPr>
                <w:sz w:val="11"/>
                <w:szCs w:val="11"/>
                <w:color w:val="auto"/>
              </w:rPr>
            </w:pPr>
          </w:p>
        </w:tc>
        <w:tc>
          <w:tcPr>
            <w:tcW w:w="800" w:type="dxa"/>
            <w:vAlign w:val="bottom"/>
            <w:vMerge w:val="continue"/>
            <w:shd w:val="clear" w:color="auto" w:fill="DBDBDB"/>
          </w:tcPr>
          <w:p>
            <w:pPr>
              <w:spacing w:after="0"/>
              <w:rPr>
                <w:sz w:val="11"/>
                <w:szCs w:val="11"/>
                <w:color w:val="auto"/>
              </w:rPr>
            </w:pPr>
          </w:p>
        </w:tc>
        <w:tc>
          <w:tcPr>
            <w:tcW w:w="840" w:type="dxa"/>
            <w:vAlign w:val="bottom"/>
            <w:vMerge w:val="continue"/>
            <w:shd w:val="clear" w:color="auto" w:fill="DBDBDB"/>
          </w:tcPr>
          <w:p>
            <w:pPr>
              <w:spacing w:after="0"/>
              <w:rPr>
                <w:sz w:val="11"/>
                <w:szCs w:val="11"/>
                <w:color w:val="auto"/>
              </w:rPr>
            </w:pPr>
          </w:p>
        </w:tc>
        <w:tc>
          <w:tcPr>
            <w:tcW w:w="760" w:type="dxa"/>
            <w:vAlign w:val="bottom"/>
            <w:vMerge w:val="continue"/>
            <w:shd w:val="clear" w:color="auto" w:fill="DBDBDB"/>
          </w:tcPr>
          <w:p>
            <w:pPr>
              <w:spacing w:after="0"/>
              <w:rPr>
                <w:sz w:val="11"/>
                <w:szCs w:val="11"/>
                <w:color w:val="auto"/>
              </w:rPr>
            </w:pPr>
          </w:p>
        </w:tc>
        <w:tc>
          <w:tcPr>
            <w:tcW w:w="1360" w:type="dxa"/>
            <w:vAlign w:val="bottom"/>
            <w:vMerge w:val="continue"/>
            <w:shd w:val="clear" w:color="auto" w:fill="DBDBDB"/>
          </w:tcPr>
          <w:p>
            <w:pPr>
              <w:spacing w:after="0"/>
              <w:rPr>
                <w:sz w:val="11"/>
                <w:szCs w:val="11"/>
                <w:color w:val="auto"/>
              </w:rPr>
            </w:pPr>
          </w:p>
        </w:tc>
        <w:tc>
          <w:tcPr>
            <w:tcW w:w="1280" w:type="dxa"/>
            <w:vAlign w:val="bottom"/>
            <w:vMerge w:val="continue"/>
            <w:shd w:val="clear" w:color="auto" w:fill="DBDBDB"/>
          </w:tcPr>
          <w:p>
            <w:pPr>
              <w:spacing w:after="0"/>
              <w:rPr>
                <w:sz w:val="11"/>
                <w:szCs w:val="11"/>
                <w:color w:val="auto"/>
              </w:rPr>
            </w:pPr>
          </w:p>
        </w:tc>
        <w:tc>
          <w:tcPr>
            <w:tcW w:w="86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Jonathan Allison</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2,399,971</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780,000</w:t>
            </w: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10,685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3,710,656</w:t>
            </w:r>
          </w:p>
        </w:tc>
        <w:tc>
          <w:tcPr>
            <w:tcW w:w="0" w:type="dxa"/>
            <w:vAlign w:val="bottom"/>
          </w:tcPr>
          <w:p>
            <w:pPr>
              <w:spacing w:after="0"/>
              <w:rPr>
                <w:sz w:val="1"/>
                <w:szCs w:val="1"/>
                <w:color w:val="auto"/>
              </w:rPr>
            </w:pPr>
          </w:p>
        </w:tc>
      </w:tr>
      <w:tr>
        <w:trPr>
          <w:trHeight w:val="52"/>
        </w:trPr>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Chief Administrative Officer</w:t>
            </w:r>
          </w:p>
        </w:tc>
        <w:tc>
          <w:tcPr>
            <w:tcW w:w="540" w:type="dxa"/>
            <w:vAlign w:val="bottom"/>
            <w:tcBorders>
              <w:bottom w:val="single" w:sz="8" w:color="B6B6B6"/>
            </w:tcBorders>
          </w:tcPr>
          <w:p>
            <w:pPr>
              <w:spacing w:after="0"/>
              <w:rPr>
                <w:sz w:val="4"/>
                <w:szCs w:val="4"/>
                <w:color w:val="auto"/>
              </w:rPr>
            </w:pPr>
          </w:p>
        </w:tc>
        <w:tc>
          <w:tcPr>
            <w:tcW w:w="80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760" w:type="dxa"/>
            <w:vAlign w:val="bottom"/>
            <w:tcBorders>
              <w:bottom w:val="single" w:sz="8" w:color="B6B6B6"/>
            </w:tcBorders>
          </w:tcPr>
          <w:p>
            <w:pPr>
              <w:spacing w:after="0"/>
              <w:rPr>
                <w:sz w:val="4"/>
                <w:szCs w:val="4"/>
                <w:color w:val="auto"/>
              </w:rPr>
            </w:pPr>
          </w:p>
        </w:tc>
        <w:tc>
          <w:tcPr>
            <w:tcW w:w="1360" w:type="dxa"/>
            <w:vAlign w:val="bottom"/>
            <w:tcBorders>
              <w:bottom w:val="single" w:sz="8" w:color="B6B6B6"/>
            </w:tcBorders>
          </w:tcPr>
          <w:p>
            <w:pPr>
              <w:spacing w:after="0"/>
              <w:rPr>
                <w:sz w:val="4"/>
                <w:szCs w:val="4"/>
                <w:color w:val="auto"/>
              </w:rPr>
            </w:pPr>
          </w:p>
        </w:tc>
        <w:tc>
          <w:tcPr>
            <w:tcW w:w="1280" w:type="dxa"/>
            <w:vAlign w:val="bottom"/>
            <w:tcBorders>
              <w:bottom w:val="single" w:sz="8" w:color="B6B6B6"/>
            </w:tcBorders>
          </w:tcPr>
          <w:p>
            <w:pPr>
              <w:spacing w:after="0"/>
              <w:rPr>
                <w:sz w:val="4"/>
                <w:szCs w:val="4"/>
                <w:color w:val="auto"/>
              </w:rPr>
            </w:pPr>
          </w:p>
        </w:tc>
        <w:tc>
          <w:tcPr>
            <w:tcW w:w="8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980" w:type="dxa"/>
            <w:vAlign w:val="bottom"/>
            <w:vMerge w:val="continue"/>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514,615</w:t>
            </w:r>
          </w:p>
        </w:tc>
        <w:tc>
          <w:tcPr>
            <w:tcW w:w="8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2,703,935</w:t>
            </w: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1,560,000</w:t>
            </w:r>
          </w:p>
        </w:tc>
        <w:tc>
          <w:tcPr>
            <w:tcW w:w="12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22,606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4,801,156</w:t>
            </w:r>
          </w:p>
        </w:tc>
        <w:tc>
          <w:tcPr>
            <w:tcW w:w="0" w:type="dxa"/>
            <w:vAlign w:val="bottom"/>
          </w:tcPr>
          <w:p>
            <w:pPr>
              <w:spacing w:after="0"/>
              <w:rPr>
                <w:sz w:val="1"/>
                <w:szCs w:val="1"/>
                <w:color w:val="auto"/>
              </w:rPr>
            </w:pPr>
          </w:p>
        </w:tc>
      </w:tr>
      <w:tr>
        <w:trPr>
          <w:trHeight w:val="76"/>
        </w:trPr>
        <w:tc>
          <w:tcPr>
            <w:tcW w:w="1980" w:type="dxa"/>
            <w:vAlign w:val="bottom"/>
          </w:tcPr>
          <w:p>
            <w:pPr>
              <w:spacing w:after="0"/>
              <w:rPr>
                <w:sz w:val="6"/>
                <w:szCs w:val="6"/>
                <w:color w:val="auto"/>
              </w:rPr>
            </w:pPr>
          </w:p>
        </w:tc>
        <w:tc>
          <w:tcPr>
            <w:tcW w:w="540" w:type="dxa"/>
            <w:vAlign w:val="bottom"/>
            <w:tcBorders>
              <w:bottom w:val="single" w:sz="8" w:color="B6B6B6"/>
            </w:tcBorders>
            <w:vMerge w:val="continue"/>
          </w:tcPr>
          <w:p>
            <w:pPr>
              <w:spacing w:after="0"/>
              <w:rPr>
                <w:sz w:val="6"/>
                <w:szCs w:val="6"/>
                <w:color w:val="auto"/>
              </w:rPr>
            </w:pPr>
          </w:p>
        </w:tc>
        <w:tc>
          <w:tcPr>
            <w:tcW w:w="800" w:type="dxa"/>
            <w:vAlign w:val="bottom"/>
            <w:tcBorders>
              <w:bottom w:val="single" w:sz="8" w:color="B6B6B6"/>
            </w:tcBorders>
            <w:vMerge w:val="continue"/>
          </w:tcPr>
          <w:p>
            <w:pPr>
              <w:spacing w:after="0"/>
              <w:rPr>
                <w:sz w:val="6"/>
                <w:szCs w:val="6"/>
                <w:color w:val="auto"/>
              </w:rPr>
            </w:pPr>
          </w:p>
        </w:tc>
        <w:tc>
          <w:tcPr>
            <w:tcW w:w="840" w:type="dxa"/>
            <w:vAlign w:val="bottom"/>
            <w:tcBorders>
              <w:bottom w:val="single" w:sz="8" w:color="B6B6B6"/>
            </w:tcBorders>
            <w:vMerge w:val="continue"/>
          </w:tcPr>
          <w:p>
            <w:pPr>
              <w:spacing w:after="0"/>
              <w:rPr>
                <w:sz w:val="6"/>
                <w:szCs w:val="6"/>
                <w:color w:val="auto"/>
              </w:rPr>
            </w:pPr>
          </w:p>
        </w:tc>
        <w:tc>
          <w:tcPr>
            <w:tcW w:w="760" w:type="dxa"/>
            <w:vAlign w:val="bottom"/>
            <w:tcBorders>
              <w:bottom w:val="single" w:sz="8" w:color="B6B6B6"/>
            </w:tcBorders>
            <w:vMerge w:val="continue"/>
          </w:tcPr>
          <w:p>
            <w:pPr>
              <w:spacing w:after="0"/>
              <w:rPr>
                <w:sz w:val="6"/>
                <w:szCs w:val="6"/>
                <w:color w:val="auto"/>
              </w:rPr>
            </w:pPr>
          </w:p>
        </w:tc>
        <w:tc>
          <w:tcPr>
            <w:tcW w:w="1360" w:type="dxa"/>
            <w:vAlign w:val="bottom"/>
            <w:tcBorders>
              <w:bottom w:val="single" w:sz="8" w:color="B6B6B6"/>
            </w:tcBorders>
            <w:vMerge w:val="continue"/>
          </w:tcPr>
          <w:p>
            <w:pPr>
              <w:spacing w:after="0"/>
              <w:rPr>
                <w:sz w:val="6"/>
                <w:szCs w:val="6"/>
                <w:color w:val="auto"/>
              </w:rPr>
            </w:pPr>
          </w:p>
        </w:tc>
        <w:tc>
          <w:tcPr>
            <w:tcW w:w="1280" w:type="dxa"/>
            <w:vAlign w:val="bottom"/>
            <w:tcBorders>
              <w:bottom w:val="single" w:sz="8" w:color="B6B6B6"/>
            </w:tcBorders>
            <w:vMerge w:val="continue"/>
          </w:tcPr>
          <w:p>
            <w:pPr>
              <w:spacing w:after="0"/>
              <w:rPr>
                <w:sz w:val="6"/>
                <w:szCs w:val="6"/>
                <w:color w:val="auto"/>
              </w:rPr>
            </w:pPr>
          </w:p>
        </w:tc>
        <w:tc>
          <w:tcPr>
            <w:tcW w:w="860" w:type="dxa"/>
            <w:vAlign w:val="bottom"/>
            <w:tcBorders>
              <w:bottom w:val="single" w:sz="8" w:color="B6B6B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488,846</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703,593</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1,425,000</w:t>
            </w: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36,085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3,253,524</w:t>
            </w:r>
          </w:p>
        </w:tc>
        <w:tc>
          <w:tcPr>
            <w:tcW w:w="0" w:type="dxa"/>
            <w:vAlign w:val="bottom"/>
          </w:tcPr>
          <w:p>
            <w:pPr>
              <w:spacing w:after="0"/>
              <w:rPr>
                <w:sz w:val="1"/>
                <w:szCs w:val="1"/>
                <w:color w:val="auto"/>
              </w:rPr>
            </w:pPr>
          </w:p>
        </w:tc>
      </w:tr>
      <w:tr>
        <w:trPr>
          <w:trHeight w:val="399"/>
        </w:trPr>
        <w:tc>
          <w:tcPr>
            <w:tcW w:w="4920" w:type="dxa"/>
            <w:vAlign w:val="bottom"/>
            <w:gridSpan w:val="5"/>
          </w:tcPr>
          <w:p>
            <w:pPr>
              <w:jc w:val="center"/>
              <w:ind w:right="328"/>
              <w:spacing w:after="0"/>
              <w:rPr>
                <w:sz w:val="20"/>
                <w:szCs w:val="20"/>
                <w:color w:val="auto"/>
              </w:rPr>
            </w:pPr>
            <w:r>
              <w:rPr>
                <w:rFonts w:ascii="Times New Roman" w:cs="Times New Roman" w:eastAsia="Times New Roman" w:hAnsi="Times New Roman"/>
                <w:sz w:val="14"/>
                <w:szCs w:val="14"/>
                <w:color w:val="auto"/>
              </w:rPr>
              <w:t>(1)  For 2025, the aggregate grant date fair value of equity awards granted in</w:t>
            </w:r>
          </w:p>
        </w:tc>
        <w:tc>
          <w:tcPr>
            <w:tcW w:w="350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2025 to our named executive officers was determined in</w:t>
            </w:r>
          </w:p>
        </w:tc>
        <w:tc>
          <w:tcPr>
            <w:tcW w:w="0" w:type="dxa"/>
            <w:vAlign w:val="bottom"/>
          </w:tcPr>
          <w:p>
            <w:pPr>
              <w:spacing w:after="0"/>
              <w:rPr>
                <w:sz w:val="1"/>
                <w:szCs w:val="1"/>
                <w:color w:val="auto"/>
              </w:rPr>
            </w:pPr>
          </w:p>
        </w:tc>
      </w:tr>
    </w:tbl>
    <w:p>
      <w:pPr>
        <w:ind w:left="620" w:right="419"/>
        <w:spacing w:after="0" w:line="241" w:lineRule="auto"/>
        <w:rPr>
          <w:sz w:val="20"/>
          <w:szCs w:val="20"/>
          <w:color w:val="auto"/>
        </w:rPr>
      </w:pPr>
      <w:r>
        <w:rPr>
          <w:rFonts w:ascii="Times New Roman" w:cs="Times New Roman" w:eastAsia="Times New Roman" w:hAnsi="Times New Roman"/>
          <w:sz w:val="14"/>
          <w:szCs w:val="14"/>
          <w:color w:val="auto"/>
        </w:rPr>
        <w:t>accordance with FASB ASC Topic 718. See Note 2 to the Consolidated Financial Statements in our Annual Report on Form 10-K for the year ended December 31, 2025 , for a discussion of the assumptions made in determining the aggregate grant date fair value of our stock awards. The grant date fair value for 2025 PSUs is based on the grant date fair value of the underlying shares of common stock and based on the probable outcome of the performance conditions. The value of the 2025 PSUs if maximum performance were to be achieved is as</w:t>
      </w:r>
    </w:p>
    <w:p>
      <w:pPr>
        <w:spacing w:after="0" w:line="1" w:lineRule="exact"/>
        <w:rPr>
          <w:sz w:val="20"/>
          <w:szCs w:val="20"/>
          <w:color w:val="auto"/>
        </w:rPr>
      </w:pPr>
    </w:p>
    <w:p>
      <w:pPr>
        <w:ind w:left="620" w:right="359"/>
        <w:spacing w:after="0" w:line="258" w:lineRule="auto"/>
        <w:rPr>
          <w:sz w:val="20"/>
          <w:szCs w:val="20"/>
          <w:color w:val="auto"/>
        </w:rPr>
      </w:pPr>
      <w:r>
        <w:rPr>
          <w:rFonts w:ascii="Times New Roman" w:cs="Times New Roman" w:eastAsia="Times New Roman" w:hAnsi="Times New Roman"/>
          <w:sz w:val="14"/>
          <w:szCs w:val="14"/>
          <w:color w:val="auto"/>
        </w:rPr>
        <w:t xml:space="preserve">follows: Mr. Timm, $10,999,749; Ms. Binkley, $5,249,943; Mr. Bonakdarpour, $7,399,983; and Mr. Allison, $4,799,941. See </w:t>
      </w:r>
      <w:r>
        <w:rPr>
          <w:rFonts w:ascii="Times New Roman" w:cs="Times New Roman" w:eastAsia="Times New Roman" w:hAnsi="Times New Roman"/>
          <w:sz w:val="14"/>
          <w:szCs w:val="14"/>
          <w:i w:val="1"/>
          <w:iCs w:val="1"/>
          <w:color w:val="auto"/>
        </w:rPr>
        <w:t xml:space="preserve">“Compensation Discussion and Analysis—Long-Term Incentives” </w:t>
      </w:r>
      <w:r>
        <w:rPr>
          <w:rFonts w:ascii="Times New Roman" w:cs="Times New Roman" w:eastAsia="Times New Roman" w:hAnsi="Times New Roman"/>
          <w:sz w:val="14"/>
          <w:szCs w:val="14"/>
          <w:color w:val="auto"/>
        </w:rPr>
        <w:t>above for more information about the stock awards.</w:t>
      </w:r>
    </w:p>
    <w:p>
      <w:pPr>
        <w:spacing w:after="0" w:line="110" w:lineRule="exact"/>
        <w:rPr>
          <w:sz w:val="20"/>
          <w:szCs w:val="20"/>
          <w:color w:val="auto"/>
        </w:rPr>
      </w:pPr>
    </w:p>
    <w:p>
      <w:pPr>
        <w:ind w:left="620" w:hanging="328"/>
        <w:spacing w:after="0"/>
        <w:tabs>
          <w:tab w:leader="none" w:pos="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for 2025 represent 2025 annual cash incentive award payouts earned by our named executive officers under our annual</w:t>
      </w:r>
    </w:p>
    <w:p>
      <w:pPr>
        <w:spacing w:after="0" w:line="17" w:lineRule="exact"/>
        <w:rPr>
          <w:sz w:val="20"/>
          <w:szCs w:val="20"/>
          <w:color w:val="auto"/>
        </w:rPr>
      </w:pPr>
    </w:p>
    <w:p>
      <w:pPr>
        <w:ind w:left="620" w:right="339"/>
        <w:spacing w:after="0" w:line="258" w:lineRule="auto"/>
        <w:rPr>
          <w:sz w:val="20"/>
          <w:szCs w:val="20"/>
          <w:color w:val="auto"/>
        </w:rPr>
      </w:pPr>
      <w:r>
        <w:rPr>
          <w:rFonts w:ascii="Times New Roman" w:cs="Times New Roman" w:eastAsia="Times New Roman" w:hAnsi="Times New Roman"/>
          <w:sz w:val="14"/>
          <w:szCs w:val="14"/>
          <w:color w:val="auto"/>
        </w:rPr>
        <w:t xml:space="preserve">cash incentive award program based on achievement of Company performance measures. See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2025 Annual Cash Incentive Performance Award Measures” </w:t>
      </w:r>
      <w:r>
        <w:rPr>
          <w:rFonts w:ascii="Times New Roman" w:cs="Times New Roman" w:eastAsia="Times New Roman" w:hAnsi="Times New Roman"/>
          <w:sz w:val="14"/>
          <w:szCs w:val="14"/>
          <w:color w:val="auto"/>
        </w:rPr>
        <w:t>above for more information about these incentive payouts.</w:t>
      </w:r>
    </w:p>
    <w:p>
      <w:pPr>
        <w:spacing w:after="0" w:line="97" w:lineRule="exact"/>
        <w:rPr>
          <w:sz w:val="20"/>
          <w:szCs w:val="20"/>
          <w:color w:val="auto"/>
        </w:rPr>
      </w:pPr>
    </w:p>
    <w:p>
      <w:pPr>
        <w:ind w:left="620" w:right="319" w:hanging="328"/>
        <w:spacing w:after="0" w:line="255" w:lineRule="auto"/>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for 2025 represent Company matching contributions made to the 401(k) Plan and life insurance premiums paid by the Company on behalf of our named executive officers. For Mr. Timm, amount for 2025 also includes the incremental cost of personal security services as determined by the board of directors to be in the best interest of ensuring his safety and security. For more information, please see the following table:</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20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2025 401(k) Plan</w:t>
            </w:r>
          </w:p>
        </w:tc>
        <w:tc>
          <w:tcPr>
            <w:tcW w:w="19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2025 Life Insurance Plan</w:t>
            </w:r>
          </w:p>
        </w:tc>
        <w:tc>
          <w:tcPr>
            <w:tcW w:w="13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2025 Security</w:t>
            </w:r>
          </w:p>
        </w:tc>
        <w:tc>
          <w:tcPr>
            <w:tcW w:w="1260" w:type="dxa"/>
            <w:vAlign w:val="bottom"/>
          </w:tcPr>
          <w:p>
            <w:pPr>
              <w:spacing w:after="0"/>
              <w:rPr>
                <w:sz w:val="15"/>
                <w:szCs w:val="15"/>
                <w:color w:val="auto"/>
              </w:rPr>
            </w:pPr>
          </w:p>
        </w:tc>
      </w:tr>
      <w:tr>
        <w:trPr>
          <w:trHeight w:val="162"/>
        </w:trPr>
        <w:tc>
          <w:tcPr>
            <w:tcW w:w="1820" w:type="dxa"/>
            <w:vAlign w:val="bottom"/>
          </w:tcPr>
          <w:p>
            <w:pPr>
              <w:spacing w:after="0"/>
              <w:rPr>
                <w:sz w:val="14"/>
                <w:szCs w:val="14"/>
                <w:color w:val="auto"/>
              </w:rPr>
            </w:pPr>
          </w:p>
        </w:tc>
        <w:tc>
          <w:tcPr>
            <w:tcW w:w="20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9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3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182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Borders>
              <w:bottom w:val="single" w:sz="8" w:color="FF5715"/>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tcBorders>
              <w:bottom w:val="single" w:sz="8" w:color="FF5715"/>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FF5715"/>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FF5715"/>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1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A. Timm</w:t>
            </w:r>
          </w:p>
        </w:tc>
        <w:tc>
          <w:tcPr>
            <w:tcW w:w="2040" w:type="dxa"/>
            <w:vAlign w:val="bottom"/>
            <w:shd w:val="clear" w:color="auto" w:fill="DBDBDB"/>
          </w:tcPr>
          <w:p>
            <w:pPr>
              <w:jc w:val="center"/>
              <w:ind w:left="448"/>
              <w:spacing w:after="0"/>
              <w:rPr>
                <w:sz w:val="20"/>
                <w:szCs w:val="20"/>
                <w:color w:val="auto"/>
              </w:rPr>
            </w:pPr>
            <w:r>
              <w:rPr>
                <w:rFonts w:ascii="Times New Roman" w:cs="Times New Roman" w:eastAsia="Times New Roman" w:hAnsi="Times New Roman"/>
                <w:sz w:val="14"/>
                <w:szCs w:val="14"/>
                <w:color w:val="auto"/>
              </w:rPr>
              <w:t>10,500</w:t>
            </w:r>
          </w:p>
        </w:tc>
        <w:tc>
          <w:tcPr>
            <w:tcW w:w="1940" w:type="dxa"/>
            <w:vAlign w:val="bottom"/>
            <w:shd w:val="clear" w:color="auto" w:fill="DBDBDB"/>
          </w:tcPr>
          <w:p>
            <w:pPr>
              <w:jc w:val="center"/>
              <w:ind w:left="88"/>
              <w:spacing w:after="0"/>
              <w:rPr>
                <w:sz w:val="20"/>
                <w:szCs w:val="20"/>
                <w:color w:val="auto"/>
              </w:rPr>
            </w:pPr>
            <w:r>
              <w:rPr>
                <w:rFonts w:ascii="Times New Roman" w:cs="Times New Roman" w:eastAsia="Times New Roman" w:hAnsi="Times New Roman"/>
                <w:sz w:val="14"/>
                <w:szCs w:val="14"/>
                <w:color w:val="auto"/>
              </w:rPr>
              <w:t>185</w:t>
            </w:r>
          </w:p>
        </w:tc>
        <w:tc>
          <w:tcPr>
            <w:tcW w:w="1360" w:type="dxa"/>
            <w:vAlign w:val="bottom"/>
            <w:shd w:val="clear" w:color="auto" w:fill="DBDBDB"/>
          </w:tcPr>
          <w:p>
            <w:pPr>
              <w:jc w:val="center"/>
              <w:ind w:right="108"/>
              <w:spacing w:after="0"/>
              <w:rPr>
                <w:sz w:val="20"/>
                <w:szCs w:val="20"/>
                <w:color w:val="auto"/>
              </w:rPr>
            </w:pPr>
            <w:r>
              <w:rPr>
                <w:rFonts w:ascii="Times New Roman" w:cs="Times New Roman" w:eastAsia="Times New Roman" w:hAnsi="Times New Roman"/>
                <w:sz w:val="14"/>
                <w:szCs w:val="14"/>
                <w:color w:val="auto"/>
              </w:rPr>
              <w:t>215,288</w:t>
            </w:r>
          </w:p>
        </w:tc>
        <w:tc>
          <w:tcPr>
            <w:tcW w:w="1260" w:type="dxa"/>
            <w:vAlign w:val="bottom"/>
            <w:shd w:val="clear" w:color="auto" w:fill="DBDBDB"/>
          </w:tcPr>
          <w:p>
            <w:pPr>
              <w:jc w:val="right"/>
              <w:ind w:right="268"/>
              <w:spacing w:after="0"/>
              <w:rPr>
                <w:sz w:val="20"/>
                <w:szCs w:val="20"/>
                <w:color w:val="auto"/>
              </w:rPr>
            </w:pPr>
            <w:r>
              <w:rPr>
                <w:rFonts w:ascii="Times New Roman" w:cs="Times New Roman" w:eastAsia="Times New Roman" w:hAnsi="Times New Roman"/>
                <w:sz w:val="14"/>
                <w:szCs w:val="14"/>
                <w:color w:val="auto"/>
              </w:rPr>
              <w:t>225,973</w:t>
            </w:r>
          </w:p>
        </w:tc>
      </w:tr>
      <w:tr>
        <w:trPr>
          <w:trHeight w:val="211"/>
        </w:trPr>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 Binkley</w:t>
            </w:r>
          </w:p>
        </w:tc>
        <w:tc>
          <w:tcPr>
            <w:tcW w:w="20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10,500</w:t>
            </w:r>
          </w:p>
        </w:tc>
        <w:tc>
          <w:tcPr>
            <w:tcW w:w="19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185</w:t>
            </w:r>
          </w:p>
        </w:tc>
        <w:tc>
          <w:tcPr>
            <w:tcW w:w="13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10,685</w:t>
            </w:r>
          </w:p>
        </w:tc>
      </w:tr>
      <w:tr>
        <w:trPr>
          <w:trHeight w:val="221"/>
        </w:trPr>
        <w:tc>
          <w:tcPr>
            <w:tcW w:w="18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M. Bonakdarpour</w:t>
            </w:r>
          </w:p>
        </w:tc>
        <w:tc>
          <w:tcPr>
            <w:tcW w:w="2040" w:type="dxa"/>
            <w:vAlign w:val="bottom"/>
            <w:shd w:val="clear" w:color="auto" w:fill="DBDBDB"/>
          </w:tcPr>
          <w:p>
            <w:pPr>
              <w:jc w:val="center"/>
              <w:ind w:left="448"/>
              <w:spacing w:after="0"/>
              <w:rPr>
                <w:sz w:val="20"/>
                <w:szCs w:val="20"/>
                <w:color w:val="auto"/>
              </w:rPr>
            </w:pPr>
            <w:r>
              <w:rPr>
                <w:rFonts w:ascii="Times New Roman" w:cs="Times New Roman" w:eastAsia="Times New Roman" w:hAnsi="Times New Roman"/>
                <w:sz w:val="14"/>
                <w:szCs w:val="14"/>
                <w:color w:val="auto"/>
              </w:rPr>
              <w:t>10,500</w:t>
            </w:r>
          </w:p>
        </w:tc>
        <w:tc>
          <w:tcPr>
            <w:tcW w:w="1940" w:type="dxa"/>
            <w:vAlign w:val="bottom"/>
            <w:shd w:val="clear" w:color="auto" w:fill="DBDBDB"/>
          </w:tcPr>
          <w:p>
            <w:pPr>
              <w:jc w:val="center"/>
              <w:ind w:left="88"/>
              <w:spacing w:after="0"/>
              <w:rPr>
                <w:sz w:val="20"/>
                <w:szCs w:val="20"/>
                <w:color w:val="auto"/>
              </w:rPr>
            </w:pPr>
            <w:r>
              <w:rPr>
                <w:rFonts w:ascii="Times New Roman" w:cs="Times New Roman" w:eastAsia="Times New Roman" w:hAnsi="Times New Roman"/>
                <w:sz w:val="14"/>
                <w:szCs w:val="14"/>
                <w:color w:val="auto"/>
              </w:rPr>
              <w:t>185</w:t>
            </w:r>
          </w:p>
        </w:tc>
        <w:tc>
          <w:tcPr>
            <w:tcW w:w="1360" w:type="dxa"/>
            <w:vAlign w:val="bottom"/>
            <w:shd w:val="clear" w:color="auto" w:fill="DBDBDB"/>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ind w:right="268"/>
              <w:spacing w:after="0"/>
              <w:rPr>
                <w:sz w:val="20"/>
                <w:szCs w:val="20"/>
                <w:color w:val="auto"/>
              </w:rPr>
            </w:pPr>
            <w:r>
              <w:rPr>
                <w:rFonts w:ascii="Times New Roman" w:cs="Times New Roman" w:eastAsia="Times New Roman" w:hAnsi="Times New Roman"/>
                <w:sz w:val="14"/>
                <w:szCs w:val="14"/>
                <w:color w:val="auto"/>
              </w:rPr>
              <w:t>10,685</w:t>
            </w:r>
          </w:p>
        </w:tc>
      </w:tr>
      <w:tr>
        <w:trPr>
          <w:trHeight w:val="206"/>
        </w:trPr>
        <w:tc>
          <w:tcPr>
            <w:tcW w:w="1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 Allison</w:t>
            </w:r>
          </w:p>
        </w:tc>
        <w:tc>
          <w:tcPr>
            <w:tcW w:w="204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10,500</w:t>
            </w:r>
          </w:p>
        </w:tc>
        <w:tc>
          <w:tcPr>
            <w:tcW w:w="19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185</w:t>
            </w:r>
          </w:p>
        </w:tc>
        <w:tc>
          <w:tcPr>
            <w:tcW w:w="13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10,685</w:t>
            </w:r>
          </w:p>
        </w:tc>
      </w:tr>
    </w:tbl>
    <w:p>
      <w:pPr>
        <w:spacing w:after="0" w:line="200" w:lineRule="exact"/>
        <w:rPr>
          <w:sz w:val="20"/>
          <w:szCs w:val="20"/>
          <w:color w:val="auto"/>
        </w:rPr>
      </w:pP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1204" w:right="1440" w:bottom="1440" w:gutter="0" w:footer="0" w:header="0"/>
          <w:type w:val="continuous"/>
        </w:sectPr>
      </w:pPr>
    </w:p>
    <w:bookmarkStart w:id="48" w:name="page49"/>
    <w:bookmarkEnd w:id="48"/>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Grants of Plan-Based Awards Table</w:t>
      </w:r>
    </w:p>
    <w:p>
      <w:pPr>
        <w:spacing w:after="0" w:line="219" w:lineRule="exact"/>
        <w:rPr>
          <w:sz w:val="20"/>
          <w:szCs w:val="20"/>
          <w:color w:val="auto"/>
        </w:rPr>
      </w:pPr>
    </w:p>
    <w:p>
      <w:pPr>
        <w:ind w:left="300" w:right="81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the following plan-based awards granted to our named executive officers in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2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gridSpan w:val="4"/>
          </w:tcPr>
          <w:p>
            <w:pPr>
              <w:jc w:val="center"/>
              <w:spacing w:after="0" w:line="178" w:lineRule="exact"/>
              <w:rPr>
                <w:sz w:val="20"/>
                <w:szCs w:val="20"/>
                <w:color w:val="auto"/>
              </w:rPr>
            </w:pPr>
            <w:r>
              <w:rPr>
                <w:rFonts w:ascii="Times New Roman" w:cs="Times New Roman" w:eastAsia="Times New Roman" w:hAnsi="Times New Roman"/>
                <w:sz w:val="14"/>
                <w:szCs w:val="14"/>
                <w:b w:val="1"/>
                <w:bCs w:val="1"/>
                <w:color w:val="auto"/>
              </w:rPr>
              <w:t xml:space="preserve">Plan Awards </w:t>
            </w:r>
            <w:r>
              <w:rPr>
                <w:rFonts w:ascii="Times New Roman" w:cs="Times New Roman" w:eastAsia="Times New Roman" w:hAnsi="Times New Roman"/>
                <w:sz w:val="18"/>
                <w:szCs w:val="18"/>
                <w:b w:val="1"/>
                <w:bCs w:val="1"/>
                <w:color w:val="auto"/>
                <w:vertAlign w:val="superscript"/>
              </w:rPr>
              <w:t>(2)</w:t>
            </w:r>
          </w:p>
        </w:tc>
        <w:tc>
          <w:tcPr>
            <w:tcW w:w="660" w:type="dxa"/>
            <w:vAlign w:val="bottom"/>
          </w:tcPr>
          <w:p>
            <w:pPr>
              <w:spacing w:after="0"/>
              <w:rPr>
                <w:sz w:val="15"/>
                <w:szCs w:val="15"/>
                <w:color w:val="auto"/>
              </w:rPr>
            </w:pPr>
          </w:p>
        </w:tc>
        <w:tc>
          <w:tcPr>
            <w:tcW w:w="640" w:type="dxa"/>
            <w:vAlign w:val="bottom"/>
          </w:tcPr>
          <w:p>
            <w:pPr>
              <w:jc w:val="center"/>
              <w:spacing w:after="0" w:line="178" w:lineRule="exact"/>
              <w:rPr>
                <w:sz w:val="20"/>
                <w:szCs w:val="20"/>
                <w:color w:val="auto"/>
              </w:rPr>
            </w:pPr>
            <w:r>
              <w:rPr>
                <w:rFonts w:ascii="Times New Roman" w:cs="Times New Roman" w:eastAsia="Times New Roman" w:hAnsi="Times New Roman"/>
                <w:sz w:val="14"/>
                <w:szCs w:val="14"/>
                <w:b w:val="1"/>
                <w:bCs w:val="1"/>
                <w:color w:val="auto"/>
                <w:w w:val="98"/>
              </w:rPr>
              <w:t>Awards</w:t>
            </w:r>
            <w:r>
              <w:rPr>
                <w:rFonts w:ascii="Times New Roman" w:cs="Times New Roman" w:eastAsia="Times New Roman" w:hAnsi="Times New Roman"/>
                <w:sz w:val="18"/>
                <w:szCs w:val="18"/>
                <w:b w:val="1"/>
                <w:bCs w:val="1"/>
                <w:color w:val="auto"/>
                <w:w w:val="98"/>
                <w:vertAlign w:val="superscript"/>
              </w:rPr>
              <w:t>(3)</w:t>
            </w: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5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0" w:type="dxa"/>
            <w:vAlign w:val="bottom"/>
          </w:tcPr>
          <w:p>
            <w:pPr>
              <w:spacing w:after="0"/>
              <w:rPr>
                <w:sz w:val="14"/>
                <w:szCs w:val="14"/>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7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0"/>
        </w:trPr>
        <w:tc>
          <w:tcPr>
            <w:tcW w:w="1040" w:type="dxa"/>
            <w:vAlign w:val="bottom"/>
            <w:tcBorders>
              <w:bottom w:val="single" w:sz="8" w:color="FF5715"/>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Borders>
              <w:bottom w:val="single" w:sz="8" w:color="FF5715"/>
            </w:tcBorders>
          </w:tcPr>
          <w:p>
            <w:pPr>
              <w:ind w:left="10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Award Type </w:t>
            </w:r>
            <w:r>
              <w:rPr>
                <w:rFonts w:ascii="Times New Roman" w:cs="Times New Roman" w:eastAsia="Times New Roman" w:hAnsi="Times New Roman"/>
                <w:sz w:val="18"/>
                <w:szCs w:val="18"/>
                <w:b w:val="1"/>
                <w:bCs w:val="1"/>
                <w:color w:val="auto"/>
                <w:vertAlign w:val="superscript"/>
              </w:rPr>
              <w:t>(1)</w:t>
            </w:r>
          </w:p>
        </w:tc>
        <w:tc>
          <w:tcPr>
            <w:tcW w:w="7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74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Borders>
              <w:bottom w:val="single" w:sz="8" w:color="FF5715"/>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FF5715"/>
            </w:tcBorders>
          </w:tcPr>
          <w:p>
            <w:pPr>
              <w:spacing w:after="0"/>
              <w:rPr>
                <w:sz w:val="15"/>
                <w:szCs w:val="15"/>
                <w:color w:val="auto"/>
              </w:rPr>
            </w:pPr>
          </w:p>
        </w:tc>
        <w:tc>
          <w:tcPr>
            <w:tcW w:w="780" w:type="dxa"/>
            <w:vAlign w:val="bottom"/>
            <w:tcBorders>
              <w:bottom w:val="single" w:sz="8" w:color="FF5715"/>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FF5715"/>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Borders>
              <w:bottom w:val="single" w:sz="8" w:color="FF5715"/>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(4)</w:t>
            </w:r>
          </w:p>
        </w:tc>
        <w:tc>
          <w:tcPr>
            <w:tcW w:w="0" w:type="dxa"/>
            <w:vAlign w:val="bottom"/>
          </w:tcPr>
          <w:p>
            <w:pPr>
              <w:spacing w:after="0"/>
              <w:rPr>
                <w:sz w:val="1"/>
                <w:szCs w:val="1"/>
                <w:color w:val="auto"/>
              </w:rPr>
            </w:pPr>
          </w:p>
        </w:tc>
      </w:tr>
      <w:tr>
        <w:trPr>
          <w:trHeight w:val="198"/>
        </w:trPr>
        <w:tc>
          <w:tcPr>
            <w:tcW w:w="104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A. Timm</w:t>
            </w:r>
          </w:p>
        </w:tc>
        <w:tc>
          <w:tcPr>
            <w:tcW w:w="108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tcBorders>
              <w:bottom w:val="single" w:sz="8" w:color="B6B6B6"/>
            </w:tcBorders>
            <w:shd w:val="clear" w:color="auto" w:fill="DBDBDB"/>
          </w:tcPr>
          <w:p>
            <w:pPr>
              <w:spacing w:after="0"/>
              <w:rPr>
                <w:sz w:val="17"/>
                <w:szCs w:val="17"/>
                <w:color w:val="auto"/>
              </w:rPr>
            </w:pPr>
          </w:p>
        </w:tc>
        <w:tc>
          <w:tcPr>
            <w:tcW w:w="74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562,500</w:t>
            </w:r>
          </w:p>
        </w:tc>
        <w:tc>
          <w:tcPr>
            <w:tcW w:w="660" w:type="dxa"/>
            <w:vAlign w:val="bottom"/>
            <w:tcBorders>
              <w:bottom w:val="single" w:sz="8" w:color="B6B6B6"/>
            </w:tcBorders>
            <w:gridSpan w:val="2"/>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1,125,000</w:t>
            </w:r>
          </w:p>
        </w:tc>
        <w:tc>
          <w:tcPr>
            <w:tcW w:w="7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3,375,000</w:t>
            </w:r>
          </w:p>
        </w:tc>
        <w:tc>
          <w:tcPr>
            <w:tcW w:w="660" w:type="dxa"/>
            <w:vAlign w:val="bottom"/>
            <w:tcBorders>
              <w:bottom w:val="single" w:sz="8" w:color="B6B6B6"/>
            </w:tcBorders>
            <w:shd w:val="clear" w:color="auto" w:fill="DBDBDB"/>
          </w:tcPr>
          <w:p>
            <w:pPr>
              <w:spacing w:after="0"/>
              <w:rPr>
                <w:sz w:val="17"/>
                <w:szCs w:val="17"/>
                <w:color w:val="auto"/>
              </w:rPr>
            </w:pPr>
          </w:p>
        </w:tc>
        <w:tc>
          <w:tcPr>
            <w:tcW w:w="640" w:type="dxa"/>
            <w:vAlign w:val="bottom"/>
            <w:tcBorders>
              <w:bottom w:val="single" w:sz="8" w:color="B6B6B6"/>
            </w:tcBorders>
            <w:shd w:val="clear" w:color="auto" w:fill="DBDBDB"/>
          </w:tcPr>
          <w:p>
            <w:pPr>
              <w:spacing w:after="0"/>
              <w:rPr>
                <w:sz w:val="17"/>
                <w:szCs w:val="17"/>
                <w:color w:val="auto"/>
              </w:rPr>
            </w:pPr>
          </w:p>
        </w:tc>
        <w:tc>
          <w:tcPr>
            <w:tcW w:w="720" w:type="dxa"/>
            <w:vAlign w:val="bottom"/>
            <w:tcBorders>
              <w:bottom w:val="single" w:sz="8" w:color="B6B6B6"/>
            </w:tcBorders>
            <w:shd w:val="clear" w:color="auto" w:fill="DBDBDB"/>
          </w:tcPr>
          <w:p>
            <w:pPr>
              <w:spacing w:after="0"/>
              <w:rPr>
                <w:sz w:val="17"/>
                <w:szCs w:val="17"/>
                <w:color w:val="auto"/>
              </w:rPr>
            </w:pPr>
          </w:p>
        </w:tc>
        <w:tc>
          <w:tcPr>
            <w:tcW w:w="680" w:type="dxa"/>
            <w:vAlign w:val="bottom"/>
            <w:tcBorders>
              <w:bottom w:val="single" w:sz="8" w:color="B6B6B6"/>
            </w:tcBorders>
            <w:shd w:val="clear" w:color="auto" w:fill="DBDBDB"/>
          </w:tcPr>
          <w:p>
            <w:pPr>
              <w:spacing w:after="0"/>
              <w:rPr>
                <w:sz w:val="17"/>
                <w:szCs w:val="17"/>
                <w:color w:val="auto"/>
              </w:rPr>
            </w:pPr>
          </w:p>
        </w:tc>
        <w:tc>
          <w:tcPr>
            <w:tcW w:w="72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40" w:type="dxa"/>
            <w:vAlign w:val="bottom"/>
            <w:shd w:val="clear" w:color="auto" w:fill="DBDBDB"/>
          </w:tcPr>
          <w:p>
            <w:pPr>
              <w:spacing w:after="0"/>
              <w:rPr>
                <w:sz w:val="17"/>
                <w:szCs w:val="17"/>
                <w:color w:val="auto"/>
              </w:rPr>
            </w:pPr>
          </w:p>
        </w:tc>
        <w:tc>
          <w:tcPr>
            <w:tcW w:w="108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PSUs</w:t>
            </w: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5/21/2025</w:t>
            </w:r>
          </w:p>
        </w:tc>
        <w:tc>
          <w:tcPr>
            <w:tcW w:w="74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6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10,920</w:t>
            </w:r>
          </w:p>
        </w:tc>
        <w:tc>
          <w:tcPr>
            <w:tcW w:w="6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43,681</w:t>
            </w:r>
          </w:p>
        </w:tc>
        <w:tc>
          <w:tcPr>
            <w:tcW w:w="7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87,362</w:t>
            </w:r>
          </w:p>
        </w:tc>
        <w:tc>
          <w:tcPr>
            <w:tcW w:w="680" w:type="dxa"/>
            <w:vAlign w:val="bottom"/>
            <w:shd w:val="clear" w:color="auto" w:fill="DBDBDB"/>
          </w:tcPr>
          <w:p>
            <w:pPr>
              <w:spacing w:after="0"/>
              <w:rPr>
                <w:sz w:val="17"/>
                <w:szCs w:val="17"/>
                <w:color w:val="auto"/>
              </w:rPr>
            </w:pPr>
          </w:p>
        </w:tc>
        <w:tc>
          <w:tcPr>
            <w:tcW w:w="7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5,499,875</w:t>
            </w:r>
          </w:p>
        </w:tc>
        <w:tc>
          <w:tcPr>
            <w:tcW w:w="0" w:type="dxa"/>
            <w:vAlign w:val="bottom"/>
          </w:tcPr>
          <w:p>
            <w:pPr>
              <w:spacing w:after="0"/>
              <w:rPr>
                <w:sz w:val="1"/>
                <w:szCs w:val="1"/>
                <w:color w:val="auto"/>
              </w:rPr>
            </w:pPr>
          </w:p>
        </w:tc>
      </w:tr>
      <w:tr>
        <w:trPr>
          <w:trHeight w:val="211"/>
        </w:trPr>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 Binkley</w:t>
            </w:r>
          </w:p>
        </w:tc>
        <w:tc>
          <w:tcPr>
            <w:tcW w:w="108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tcBorders>
              <w:bottom w:val="single" w:sz="8" w:color="B6B6B6"/>
            </w:tcBorders>
          </w:tcPr>
          <w:p>
            <w:pPr>
              <w:spacing w:after="0"/>
              <w:rPr>
                <w:sz w:val="18"/>
                <w:szCs w:val="18"/>
                <w:color w:val="auto"/>
              </w:rPr>
            </w:pPr>
          </w:p>
        </w:tc>
        <w:tc>
          <w:tcPr>
            <w:tcW w:w="7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4"/>
                <w:szCs w:val="14"/>
                <w:color w:val="auto"/>
              </w:rPr>
              <w:t>187,500</w:t>
            </w:r>
          </w:p>
        </w:tc>
        <w:tc>
          <w:tcPr>
            <w:tcW w:w="660" w:type="dxa"/>
            <w:vAlign w:val="bottom"/>
            <w:tcBorders>
              <w:bottom w:val="single" w:sz="8" w:color="B6B6B6"/>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375,000</w:t>
            </w:r>
          </w:p>
        </w:tc>
        <w:tc>
          <w:tcPr>
            <w:tcW w:w="7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4"/>
                <w:szCs w:val="14"/>
                <w:color w:val="auto"/>
              </w:rPr>
              <w:t>1,125,000</w:t>
            </w:r>
          </w:p>
        </w:tc>
        <w:tc>
          <w:tcPr>
            <w:tcW w:w="660" w:type="dxa"/>
            <w:vAlign w:val="bottom"/>
            <w:tcBorders>
              <w:bottom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720" w:type="dxa"/>
            <w:vAlign w:val="bottom"/>
            <w:tcBorders>
              <w:bottom w:val="single" w:sz="8" w:color="B6B6B6"/>
            </w:tcBorders>
          </w:tcPr>
          <w:p>
            <w:pPr>
              <w:spacing w:after="0"/>
              <w:rPr>
                <w:sz w:val="18"/>
                <w:szCs w:val="18"/>
                <w:color w:val="auto"/>
              </w:rPr>
            </w:pPr>
          </w:p>
        </w:tc>
        <w:tc>
          <w:tcPr>
            <w:tcW w:w="680" w:type="dxa"/>
            <w:vAlign w:val="bottom"/>
            <w:tcBorders>
              <w:bottom w:val="single" w:sz="8" w:color="B6B6B6"/>
            </w:tcBorders>
          </w:tcPr>
          <w:p>
            <w:pPr>
              <w:spacing w:after="0"/>
              <w:rPr>
                <w:sz w:val="18"/>
                <w:szCs w:val="18"/>
                <w:color w:val="auto"/>
              </w:rPr>
            </w:pPr>
          </w:p>
        </w:tc>
        <w:tc>
          <w:tcPr>
            <w:tcW w:w="720" w:type="dxa"/>
            <w:vAlign w:val="bottom"/>
            <w:tcBorders>
              <w:bottom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PSUs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5/21/2025</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5,212</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20,848</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41,696</w:t>
            </w:r>
          </w:p>
        </w:tc>
        <w:tc>
          <w:tcPr>
            <w:tcW w:w="6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2,624,972</w:t>
            </w:r>
          </w:p>
        </w:tc>
        <w:tc>
          <w:tcPr>
            <w:tcW w:w="0" w:type="dxa"/>
            <w:vAlign w:val="bottom"/>
          </w:tcPr>
          <w:p>
            <w:pPr>
              <w:spacing w:after="0"/>
              <w:rPr>
                <w:sz w:val="1"/>
                <w:szCs w:val="1"/>
                <w:color w:val="auto"/>
              </w:rPr>
            </w:pPr>
          </w:p>
        </w:tc>
      </w:tr>
      <w:tr>
        <w:trPr>
          <w:trHeight w:val="185"/>
        </w:trPr>
        <w:tc>
          <w:tcPr>
            <w:tcW w:w="104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M.</w:t>
            </w:r>
          </w:p>
        </w:tc>
        <w:tc>
          <w:tcPr>
            <w:tcW w:w="108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shd w:val="clear" w:color="auto" w:fill="DBDBDB"/>
          </w:tcPr>
          <w:p>
            <w:pPr>
              <w:spacing w:after="0"/>
              <w:rPr>
                <w:sz w:val="16"/>
                <w:szCs w:val="16"/>
                <w:color w:val="auto"/>
              </w:rPr>
            </w:pPr>
          </w:p>
        </w:tc>
        <w:tc>
          <w:tcPr>
            <w:tcW w:w="7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275,000</w:t>
            </w:r>
          </w:p>
        </w:tc>
        <w:tc>
          <w:tcPr>
            <w:tcW w:w="660" w:type="dxa"/>
            <w:vAlign w:val="bottom"/>
            <w:gridSpan w:val="2"/>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550,000</w:t>
            </w:r>
          </w:p>
        </w:tc>
        <w:tc>
          <w:tcPr>
            <w:tcW w:w="7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1,650,000</w:t>
            </w:r>
          </w:p>
        </w:tc>
        <w:tc>
          <w:tcPr>
            <w:tcW w:w="66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040" w:type="dxa"/>
            <w:vAlign w:val="bottom"/>
            <w:tcBorders>
              <w:bottom w:val="single" w:sz="8" w:color="DBDBDB"/>
            </w:tcBorders>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Bonakdarpour</w:t>
            </w:r>
          </w:p>
        </w:tc>
        <w:tc>
          <w:tcPr>
            <w:tcW w:w="1080" w:type="dxa"/>
            <w:vAlign w:val="bottom"/>
            <w:tcBorders>
              <w:bottom w:val="single" w:sz="8" w:color="B6B6B6"/>
            </w:tcBorders>
            <w:shd w:val="clear" w:color="auto" w:fill="DBDBDB"/>
          </w:tcPr>
          <w:p>
            <w:pPr>
              <w:spacing w:after="0"/>
              <w:rPr>
                <w:sz w:val="6"/>
                <w:szCs w:val="6"/>
                <w:color w:val="auto"/>
              </w:rPr>
            </w:pPr>
          </w:p>
        </w:tc>
        <w:tc>
          <w:tcPr>
            <w:tcW w:w="70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520" w:type="dxa"/>
            <w:vAlign w:val="bottom"/>
            <w:tcBorders>
              <w:bottom w:val="single" w:sz="8" w:color="B6B6B6"/>
            </w:tcBorders>
            <w:shd w:val="clear" w:color="auto" w:fill="DBDBDB"/>
          </w:tcPr>
          <w:p>
            <w:pPr>
              <w:spacing w:after="0"/>
              <w:rPr>
                <w:sz w:val="6"/>
                <w:szCs w:val="6"/>
                <w:color w:val="auto"/>
              </w:rPr>
            </w:pPr>
          </w:p>
        </w:tc>
        <w:tc>
          <w:tcPr>
            <w:tcW w:w="14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660" w:type="dxa"/>
            <w:vAlign w:val="bottom"/>
            <w:tcBorders>
              <w:bottom w:val="single" w:sz="8" w:color="B6B6B6"/>
            </w:tcBorders>
            <w:shd w:val="clear" w:color="auto" w:fill="DBDBDB"/>
          </w:tcPr>
          <w:p>
            <w:pPr>
              <w:spacing w:after="0"/>
              <w:rPr>
                <w:sz w:val="6"/>
                <w:szCs w:val="6"/>
                <w:color w:val="auto"/>
              </w:rPr>
            </w:pPr>
          </w:p>
        </w:tc>
        <w:tc>
          <w:tcPr>
            <w:tcW w:w="640" w:type="dxa"/>
            <w:vAlign w:val="bottom"/>
            <w:tcBorders>
              <w:bottom w:val="single" w:sz="8" w:color="B6B6B6"/>
            </w:tcBorders>
            <w:shd w:val="clear" w:color="auto" w:fill="DBDBDB"/>
          </w:tcPr>
          <w:p>
            <w:pPr>
              <w:spacing w:after="0"/>
              <w:rPr>
                <w:sz w:val="6"/>
                <w:szCs w:val="6"/>
                <w:color w:val="auto"/>
              </w:rPr>
            </w:pPr>
          </w:p>
        </w:tc>
        <w:tc>
          <w:tcPr>
            <w:tcW w:w="720" w:type="dxa"/>
            <w:vAlign w:val="bottom"/>
            <w:tcBorders>
              <w:bottom w:val="single" w:sz="8" w:color="B6B6B6"/>
            </w:tcBorders>
            <w:shd w:val="clear" w:color="auto" w:fill="DBDBDB"/>
          </w:tcPr>
          <w:p>
            <w:pPr>
              <w:spacing w:after="0"/>
              <w:rPr>
                <w:sz w:val="6"/>
                <w:szCs w:val="6"/>
                <w:color w:val="auto"/>
              </w:rPr>
            </w:pPr>
          </w:p>
        </w:tc>
        <w:tc>
          <w:tcPr>
            <w:tcW w:w="680" w:type="dxa"/>
            <w:vAlign w:val="bottom"/>
            <w:tcBorders>
              <w:bottom w:val="single" w:sz="8" w:color="B6B6B6"/>
            </w:tcBorders>
            <w:shd w:val="clear" w:color="auto" w:fill="DBDBDB"/>
          </w:tcPr>
          <w:p>
            <w:pPr>
              <w:spacing w:after="0"/>
              <w:rPr>
                <w:sz w:val="6"/>
                <w:szCs w:val="6"/>
                <w:color w:val="auto"/>
              </w:rPr>
            </w:pPr>
          </w:p>
        </w:tc>
        <w:tc>
          <w:tcPr>
            <w:tcW w:w="720" w:type="dxa"/>
            <w:vAlign w:val="bottom"/>
            <w:tcBorders>
              <w:bottom w:val="single" w:sz="8" w:color="B6B6B6"/>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040" w:type="dxa"/>
            <w:vAlign w:val="bottom"/>
            <w:vMerge w:val="continue"/>
            <w:shd w:val="clear" w:color="auto" w:fill="DBDBDB"/>
          </w:tcPr>
          <w:p>
            <w:pPr>
              <w:spacing w:after="0"/>
              <w:rPr>
                <w:sz w:val="7"/>
                <w:szCs w:val="7"/>
                <w:color w:val="auto"/>
              </w:rPr>
            </w:pPr>
          </w:p>
        </w:tc>
        <w:tc>
          <w:tcPr>
            <w:tcW w:w="1080" w:type="dxa"/>
            <w:vAlign w:val="bottom"/>
            <w:vMerge w:val="restart"/>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PSUs</w:t>
            </w:r>
          </w:p>
        </w:tc>
        <w:tc>
          <w:tcPr>
            <w:tcW w:w="7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5/21/2025</w:t>
            </w:r>
          </w:p>
        </w:tc>
        <w:tc>
          <w:tcPr>
            <w:tcW w:w="740" w:type="dxa"/>
            <w:vAlign w:val="bottom"/>
            <w:shd w:val="clear" w:color="auto" w:fill="DBDBDB"/>
          </w:tcPr>
          <w:p>
            <w:pPr>
              <w:spacing w:after="0"/>
              <w:rPr>
                <w:sz w:val="7"/>
                <w:szCs w:val="7"/>
                <w:color w:val="auto"/>
              </w:rPr>
            </w:pPr>
          </w:p>
        </w:tc>
        <w:tc>
          <w:tcPr>
            <w:tcW w:w="52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78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7,347</w:t>
            </w:r>
          </w:p>
        </w:tc>
        <w:tc>
          <w:tcPr>
            <w:tcW w:w="6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29,386</w:t>
            </w:r>
          </w:p>
        </w:tc>
        <w:tc>
          <w:tcPr>
            <w:tcW w:w="7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58,772</w:t>
            </w:r>
          </w:p>
        </w:tc>
        <w:tc>
          <w:tcPr>
            <w:tcW w:w="680" w:type="dxa"/>
            <w:vAlign w:val="bottom"/>
            <w:shd w:val="clear" w:color="auto" w:fill="DBDBDB"/>
          </w:tcPr>
          <w:p>
            <w:pPr>
              <w:spacing w:after="0"/>
              <w:rPr>
                <w:sz w:val="7"/>
                <w:szCs w:val="7"/>
                <w:color w:val="auto"/>
              </w:rPr>
            </w:pPr>
          </w:p>
        </w:tc>
        <w:tc>
          <w:tcPr>
            <w:tcW w:w="7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3,699,991</w:t>
            </w:r>
          </w:p>
        </w:tc>
        <w:tc>
          <w:tcPr>
            <w:tcW w:w="0" w:type="dxa"/>
            <w:vAlign w:val="bottom"/>
          </w:tcPr>
          <w:p>
            <w:pPr>
              <w:spacing w:after="0"/>
              <w:rPr>
                <w:sz w:val="1"/>
                <w:szCs w:val="1"/>
                <w:color w:val="auto"/>
              </w:rPr>
            </w:pPr>
          </w:p>
        </w:tc>
      </w:tr>
      <w:tr>
        <w:trPr>
          <w:trHeight w:val="125"/>
        </w:trPr>
        <w:tc>
          <w:tcPr>
            <w:tcW w:w="1040" w:type="dxa"/>
            <w:vAlign w:val="bottom"/>
            <w:tcBorders>
              <w:bottom w:val="single" w:sz="8" w:color="DBDBDB"/>
            </w:tcBorders>
            <w:shd w:val="clear" w:color="auto" w:fill="DBDBDB"/>
          </w:tcPr>
          <w:p>
            <w:pPr>
              <w:spacing w:after="0"/>
              <w:rPr>
                <w:sz w:val="10"/>
                <w:szCs w:val="10"/>
                <w:color w:val="auto"/>
              </w:rPr>
            </w:pPr>
          </w:p>
        </w:tc>
        <w:tc>
          <w:tcPr>
            <w:tcW w:w="1080" w:type="dxa"/>
            <w:vAlign w:val="bottom"/>
            <w:tcBorders>
              <w:bottom w:val="single" w:sz="8" w:color="DBDBDB"/>
            </w:tcBorders>
            <w:vMerge w:val="continue"/>
            <w:shd w:val="clear" w:color="auto" w:fill="DBDBDB"/>
          </w:tcPr>
          <w:p>
            <w:pPr>
              <w:spacing w:after="0"/>
              <w:rPr>
                <w:sz w:val="10"/>
                <w:szCs w:val="10"/>
                <w:color w:val="auto"/>
              </w:rPr>
            </w:pPr>
          </w:p>
        </w:tc>
        <w:tc>
          <w:tcPr>
            <w:tcW w:w="700" w:type="dxa"/>
            <w:vAlign w:val="bottom"/>
            <w:tcBorders>
              <w:bottom w:val="single" w:sz="8" w:color="DBDBDB"/>
            </w:tcBorders>
            <w:vMerge w:val="continue"/>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520" w:type="dxa"/>
            <w:vAlign w:val="bottom"/>
            <w:tcBorders>
              <w:bottom w:val="single" w:sz="8" w:color="DBDBDB"/>
            </w:tcBorders>
            <w:shd w:val="clear" w:color="auto" w:fill="DBDBDB"/>
          </w:tcPr>
          <w:p>
            <w:pPr>
              <w:spacing w:after="0"/>
              <w:rPr>
                <w:sz w:val="10"/>
                <w:szCs w:val="10"/>
                <w:color w:val="auto"/>
              </w:rPr>
            </w:pPr>
          </w:p>
        </w:tc>
        <w:tc>
          <w:tcPr>
            <w:tcW w:w="14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spacing w:after="0"/>
              <w:rPr>
                <w:sz w:val="10"/>
                <w:szCs w:val="10"/>
                <w:color w:val="auto"/>
              </w:rPr>
            </w:pPr>
          </w:p>
        </w:tc>
        <w:tc>
          <w:tcPr>
            <w:tcW w:w="660" w:type="dxa"/>
            <w:vAlign w:val="bottom"/>
            <w:tcBorders>
              <w:bottom w:val="single" w:sz="8" w:color="DBDBDB"/>
            </w:tcBorders>
            <w:vMerge w:val="continue"/>
            <w:shd w:val="clear" w:color="auto" w:fill="DBDBDB"/>
          </w:tcPr>
          <w:p>
            <w:pPr>
              <w:spacing w:after="0"/>
              <w:rPr>
                <w:sz w:val="10"/>
                <w:szCs w:val="10"/>
                <w:color w:val="auto"/>
              </w:rPr>
            </w:pPr>
          </w:p>
        </w:tc>
        <w:tc>
          <w:tcPr>
            <w:tcW w:w="640" w:type="dxa"/>
            <w:vAlign w:val="bottom"/>
            <w:tcBorders>
              <w:bottom w:val="single" w:sz="8" w:color="DBDBDB"/>
            </w:tcBorders>
            <w:vMerge w:val="continue"/>
            <w:shd w:val="clear" w:color="auto" w:fill="DBDBDB"/>
          </w:tcPr>
          <w:p>
            <w:pPr>
              <w:spacing w:after="0"/>
              <w:rPr>
                <w:sz w:val="10"/>
                <w:szCs w:val="10"/>
                <w:color w:val="auto"/>
              </w:rPr>
            </w:pPr>
          </w:p>
        </w:tc>
        <w:tc>
          <w:tcPr>
            <w:tcW w:w="720" w:type="dxa"/>
            <w:vAlign w:val="bottom"/>
            <w:tcBorders>
              <w:bottom w:val="single" w:sz="8" w:color="DBDBDB"/>
            </w:tcBorders>
            <w:vMerge w:val="continue"/>
            <w:shd w:val="clear" w:color="auto" w:fill="DBDBDB"/>
          </w:tcPr>
          <w:p>
            <w:pPr>
              <w:spacing w:after="0"/>
              <w:rPr>
                <w:sz w:val="10"/>
                <w:szCs w:val="10"/>
                <w:color w:val="auto"/>
              </w:rPr>
            </w:pPr>
          </w:p>
        </w:tc>
        <w:tc>
          <w:tcPr>
            <w:tcW w:w="680" w:type="dxa"/>
            <w:vAlign w:val="bottom"/>
            <w:tcBorders>
              <w:bottom w:val="single" w:sz="8" w:color="DBDBDB"/>
            </w:tcBorders>
            <w:shd w:val="clear" w:color="auto" w:fill="DBDBDB"/>
          </w:tcPr>
          <w:p>
            <w:pPr>
              <w:spacing w:after="0"/>
              <w:rPr>
                <w:sz w:val="10"/>
                <w:szCs w:val="10"/>
                <w:color w:val="auto"/>
              </w:rPr>
            </w:pPr>
          </w:p>
        </w:tc>
        <w:tc>
          <w:tcPr>
            <w:tcW w:w="72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 Allison</w:t>
            </w:r>
          </w:p>
        </w:tc>
        <w:tc>
          <w:tcPr>
            <w:tcW w:w="108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4"/>
                <w:szCs w:val="14"/>
                <w:color w:val="auto"/>
              </w:rPr>
              <w:t>Annual Incentive</w:t>
            </w:r>
          </w:p>
        </w:tc>
        <w:tc>
          <w:tcPr>
            <w:tcW w:w="700" w:type="dxa"/>
            <w:vAlign w:val="bottom"/>
            <w:tcBorders>
              <w:bottom w:val="single" w:sz="8" w:color="B6B6B6"/>
            </w:tcBorders>
          </w:tcPr>
          <w:p>
            <w:pPr>
              <w:spacing w:after="0"/>
              <w:rPr>
                <w:sz w:val="18"/>
                <w:szCs w:val="18"/>
                <w:color w:val="auto"/>
              </w:rPr>
            </w:pPr>
          </w:p>
        </w:tc>
        <w:tc>
          <w:tcPr>
            <w:tcW w:w="74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4"/>
                <w:szCs w:val="14"/>
                <w:color w:val="auto"/>
              </w:rPr>
              <w:t>260,000</w:t>
            </w:r>
          </w:p>
        </w:tc>
        <w:tc>
          <w:tcPr>
            <w:tcW w:w="660" w:type="dxa"/>
            <w:vAlign w:val="bottom"/>
            <w:tcBorders>
              <w:bottom w:val="single" w:sz="8" w:color="B6B6B6"/>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520,000</w:t>
            </w:r>
          </w:p>
        </w:tc>
        <w:tc>
          <w:tcPr>
            <w:tcW w:w="7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4"/>
                <w:szCs w:val="14"/>
                <w:color w:val="auto"/>
              </w:rPr>
              <w:t>1,560,000</w:t>
            </w:r>
          </w:p>
        </w:tc>
        <w:tc>
          <w:tcPr>
            <w:tcW w:w="660" w:type="dxa"/>
            <w:vAlign w:val="bottom"/>
            <w:tcBorders>
              <w:bottom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720" w:type="dxa"/>
            <w:vAlign w:val="bottom"/>
            <w:tcBorders>
              <w:bottom w:val="single" w:sz="8" w:color="B6B6B6"/>
            </w:tcBorders>
          </w:tcPr>
          <w:p>
            <w:pPr>
              <w:spacing w:after="0"/>
              <w:rPr>
                <w:sz w:val="18"/>
                <w:szCs w:val="18"/>
                <w:color w:val="auto"/>
              </w:rPr>
            </w:pPr>
          </w:p>
        </w:tc>
        <w:tc>
          <w:tcPr>
            <w:tcW w:w="680" w:type="dxa"/>
            <w:vAlign w:val="bottom"/>
            <w:tcBorders>
              <w:bottom w:val="single" w:sz="8" w:color="B6B6B6"/>
            </w:tcBorders>
          </w:tcPr>
          <w:p>
            <w:pPr>
              <w:spacing w:after="0"/>
              <w:rPr>
                <w:sz w:val="18"/>
                <w:szCs w:val="18"/>
                <w:color w:val="auto"/>
              </w:rPr>
            </w:pPr>
          </w:p>
        </w:tc>
        <w:tc>
          <w:tcPr>
            <w:tcW w:w="720" w:type="dxa"/>
            <w:vAlign w:val="bottom"/>
            <w:tcBorders>
              <w:bottom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PSUs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5/21/2025</w:t>
            </w: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4,765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19,061</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38,122</w:t>
            </w:r>
          </w:p>
        </w:tc>
        <w:tc>
          <w:tcPr>
            <w:tcW w:w="6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2,399,971</w:t>
            </w:r>
          </w:p>
        </w:tc>
        <w:tc>
          <w:tcPr>
            <w:tcW w:w="0" w:type="dxa"/>
            <w:vAlign w:val="bottom"/>
          </w:tcPr>
          <w:p>
            <w:pPr>
              <w:spacing w:after="0"/>
              <w:rPr>
                <w:sz w:val="1"/>
                <w:szCs w:val="1"/>
                <w:color w:val="auto"/>
              </w:rPr>
            </w:pPr>
          </w:p>
        </w:tc>
      </w:tr>
      <w:tr>
        <w:trPr>
          <w:trHeight w:val="377"/>
        </w:trPr>
        <w:tc>
          <w:tcPr>
            <w:tcW w:w="50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  “Annual Incentive” refers to annual cash incentive award opportunities under our</w:t>
            </w:r>
          </w:p>
        </w:tc>
        <w:tc>
          <w:tcPr>
            <w:tcW w:w="34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2025 STI Plan that are earned based on Company</w:t>
            </w:r>
          </w:p>
        </w:tc>
        <w:tc>
          <w:tcPr>
            <w:tcW w:w="0" w:type="dxa"/>
            <w:vAlign w:val="bottom"/>
          </w:tcPr>
          <w:p>
            <w:pPr>
              <w:spacing w:after="0"/>
              <w:rPr>
                <w:sz w:val="1"/>
                <w:szCs w:val="1"/>
                <w:color w:val="auto"/>
              </w:rPr>
            </w:pPr>
          </w:p>
        </w:tc>
      </w:tr>
      <w:tr>
        <w:trPr>
          <w:trHeight w:val="190"/>
        </w:trPr>
        <w:tc>
          <w:tcPr>
            <w:tcW w:w="408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performance against certain pre-established measures. See “</w:t>
            </w:r>
          </w:p>
        </w:tc>
        <w:tc>
          <w:tcPr>
            <w:tcW w:w="434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rPr>
              <w:t>Compensation Discussion and Analysis—  2025 Annual Cash Incentive</w:t>
            </w:r>
          </w:p>
        </w:tc>
        <w:tc>
          <w:tcPr>
            <w:tcW w:w="0" w:type="dxa"/>
            <w:vAlign w:val="bottom"/>
          </w:tcPr>
          <w:p>
            <w:pPr>
              <w:spacing w:after="0"/>
              <w:rPr>
                <w:sz w:val="1"/>
                <w:szCs w:val="1"/>
                <w:color w:val="auto"/>
              </w:rPr>
            </w:pPr>
          </w:p>
        </w:tc>
      </w:tr>
    </w:tbl>
    <w:p>
      <w:pPr>
        <w:ind w:left="620" w:right="579"/>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Performance Award Measures </w:t>
      </w:r>
      <w:r>
        <w:rPr>
          <w:rFonts w:ascii="Times New Roman" w:cs="Times New Roman" w:eastAsia="Times New Roman" w:hAnsi="Times New Roman"/>
          <w:sz w:val="14"/>
          <w:szCs w:val="14"/>
          <w:color w:val="auto"/>
        </w:rPr>
        <w:t>” above. Each PSU represents a contingent right to receive one share of our Class A common stock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vesting of the award. See “</w:t>
      </w:r>
      <w:r>
        <w:rPr>
          <w:rFonts w:ascii="Times New Roman" w:cs="Times New Roman" w:eastAsia="Times New Roman" w:hAnsi="Times New Roman"/>
          <w:sz w:val="14"/>
          <w:szCs w:val="14"/>
          <w:i w:val="1"/>
          <w:iCs w:val="1"/>
          <w:color w:val="auto"/>
        </w:rPr>
        <w:t>Compensation Discussion and Analysis—Long-Term Incentives</w:t>
      </w:r>
      <w:r>
        <w:rPr>
          <w:rFonts w:ascii="Times New Roman" w:cs="Times New Roman" w:eastAsia="Times New Roman" w:hAnsi="Times New Roman"/>
          <w:sz w:val="14"/>
          <w:szCs w:val="14"/>
          <w:color w:val="auto"/>
        </w:rPr>
        <w:t>” above.</w:t>
      </w:r>
    </w:p>
    <w:p>
      <w:pPr>
        <w:spacing w:after="0" w:line="107" w:lineRule="exact"/>
        <w:rPr>
          <w:sz w:val="20"/>
          <w:szCs w:val="20"/>
          <w:color w:val="auto"/>
        </w:rPr>
      </w:pPr>
    </w:p>
    <w:p>
      <w:pPr>
        <w:ind w:left="620" w:hanging="328"/>
        <w:spacing w:after="0"/>
        <w:tabs>
          <w:tab w:leader="none" w:pos="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represent the potential cash payouts under the annual cash incentive award program for 2025.</w:t>
      </w:r>
    </w:p>
    <w:p>
      <w:pPr>
        <w:spacing w:after="0" w:line="149" w:lineRule="exact"/>
        <w:rPr>
          <w:rFonts w:ascii="Times New Roman" w:cs="Times New Roman" w:eastAsia="Times New Roman" w:hAnsi="Times New Roman"/>
          <w:sz w:val="14"/>
          <w:szCs w:val="14"/>
          <w:color w:val="auto"/>
        </w:rPr>
      </w:pPr>
    </w:p>
    <w:p>
      <w:pPr>
        <w:jc w:val="both"/>
        <w:ind w:left="620" w:right="459" w:hanging="328"/>
        <w:spacing w:after="0" w:line="281" w:lineRule="auto"/>
        <w:tabs>
          <w:tab w:leader="none" w:pos="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represent the threshold, target, and maximum number of PSUs that could be earned based on total three-year performance, which performance depends upon the Company’s achievement against the performance measures of Policies in Force and Gross Accident Period Loss Ratio.</w:t>
      </w:r>
    </w:p>
    <w:p>
      <w:pPr>
        <w:spacing w:after="0" w:line="9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the PSU awards, determined in accordance with FASB ASC Topic 718.</w:t>
      </w:r>
    </w:p>
    <w:p>
      <w:pPr>
        <w:spacing w:after="0" w:line="327" w:lineRule="exact"/>
        <w:rPr>
          <w:sz w:val="20"/>
          <w:szCs w:val="20"/>
          <w:color w:val="auto"/>
        </w:rPr>
      </w:pPr>
    </w:p>
    <w:p>
      <w:pPr>
        <w:ind w:left="300" w:right="319"/>
        <w:spacing w:after="0" w:line="239" w:lineRule="auto"/>
        <w:rPr>
          <w:sz w:val="20"/>
          <w:szCs w:val="20"/>
          <w:color w:val="auto"/>
        </w:rPr>
      </w:pPr>
      <w:r>
        <w:rPr>
          <w:rFonts w:ascii="Times New Roman" w:cs="Times New Roman" w:eastAsia="Times New Roman" w:hAnsi="Times New Roman"/>
          <w:sz w:val="18"/>
          <w:szCs w:val="18"/>
          <w:color w:val="auto"/>
        </w:rPr>
        <w:t xml:space="preserve">Grants made in 2025 are described more fully in the “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section of this Proxy Statement. The material terms of the named executive officers’ employment agreements are described above under</w:t>
      </w:r>
    </w:p>
    <w:p>
      <w:pPr>
        <w:ind w:left="300"/>
        <w:spacing w:after="0" w:line="233" w:lineRule="auto"/>
        <w:tabs>
          <w:tab w:leader="none" w:pos="6280" w:val="left"/>
          <w:tab w:leader="none" w:pos="80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Compensation Discussion and Analysis—Executive Employment Agreements</w:t>
      </w:r>
      <w:r>
        <w:rPr>
          <w:sz w:val="20"/>
          <w:szCs w:val="20"/>
          <w:color w:val="auto"/>
        </w:rPr>
        <w:tab/>
      </w:r>
      <w:r>
        <w:rPr>
          <w:rFonts w:ascii="Times New Roman" w:cs="Times New Roman" w:eastAsia="Times New Roman" w:hAnsi="Times New Roman"/>
          <w:sz w:val="18"/>
          <w:szCs w:val="18"/>
          <w:color w:val="auto"/>
        </w:rPr>
        <w:t>” and below under “</w:t>
      </w:r>
      <w:r>
        <w:rPr>
          <w:sz w:val="20"/>
          <w:szCs w:val="20"/>
          <w:color w:val="auto"/>
        </w:rPr>
        <w:tab/>
      </w:r>
      <w:r>
        <w:rPr>
          <w:rFonts w:ascii="Times New Roman" w:cs="Times New Roman" w:eastAsia="Times New Roman" w:hAnsi="Times New Roman"/>
          <w:sz w:val="17"/>
          <w:szCs w:val="17"/>
          <w:i w:val="1"/>
          <w:iCs w:val="1"/>
          <w:color w:val="auto"/>
        </w:rPr>
        <w:t>Potential</w:t>
      </w:r>
    </w:p>
    <w:p>
      <w:pPr>
        <w:ind w:left="300"/>
        <w:spacing w:after="0" w:line="219" w:lineRule="auto"/>
        <w:tabs>
          <w:tab w:leader="none" w:pos="5160" w:val="left"/>
        </w:tabs>
        <w:rPr>
          <w:sz w:val="20"/>
          <w:szCs w:val="20"/>
          <w:color w:val="auto"/>
        </w:rPr>
      </w:pPr>
      <w:r>
        <w:rPr>
          <w:rFonts w:ascii="Times New Roman" w:cs="Times New Roman" w:eastAsia="Times New Roman" w:hAnsi="Times New Roman"/>
          <w:sz w:val="18"/>
          <w:szCs w:val="18"/>
          <w:i w:val="1"/>
          <w:iCs w:val="1"/>
          <w:color w:val="auto"/>
        </w:rPr>
        <w:t>Payments and Benefits Upon Termination or Change in Control</w:t>
      </w:r>
      <w:r>
        <w:rPr>
          <w:sz w:val="20"/>
          <w:szCs w:val="20"/>
          <w:color w:val="auto"/>
        </w:rPr>
        <w:tab/>
      </w:r>
      <w:r>
        <w:rPr>
          <w:rFonts w:ascii="Times New Roman" w:cs="Times New Roman" w:eastAsia="Times New Roman" w:hAnsi="Times New Roman"/>
          <w:sz w:val="18"/>
          <w:szCs w:val="18"/>
          <w:color w:val="auto"/>
        </w:rPr>
        <w:t>”. More information concerning the amount of</w:t>
      </w:r>
    </w:p>
    <w:p>
      <w:pPr>
        <w:ind w:left="300"/>
        <w:spacing w:after="0" w:line="235" w:lineRule="auto"/>
        <w:rPr>
          <w:sz w:val="20"/>
          <w:szCs w:val="20"/>
          <w:color w:val="auto"/>
        </w:rPr>
      </w:pPr>
      <w:r>
        <w:rPr>
          <w:rFonts w:ascii="Times New Roman" w:cs="Times New Roman" w:eastAsia="Times New Roman" w:hAnsi="Times New Roman"/>
          <w:sz w:val="18"/>
          <w:szCs w:val="18"/>
          <w:color w:val="auto"/>
        </w:rPr>
        <w:t>salary in proportion to the total compensation of our named executive officers is provided under the section of this</w:t>
      </w:r>
    </w:p>
    <w:p>
      <w:pPr>
        <w:ind w:left="300"/>
        <w:spacing w:after="0"/>
        <w:rPr>
          <w:sz w:val="20"/>
          <w:szCs w:val="20"/>
          <w:color w:val="auto"/>
        </w:rPr>
      </w:pPr>
      <w:r>
        <w:rPr>
          <w:rFonts w:ascii="Times New Roman" w:cs="Times New Roman" w:eastAsia="Times New Roman" w:hAnsi="Times New Roman"/>
          <w:sz w:val="18"/>
          <w:szCs w:val="18"/>
          <w:color w:val="auto"/>
        </w:rPr>
        <w:t>Proxy Statement entitled “</w:t>
      </w:r>
      <w:r>
        <w:rPr>
          <w:rFonts w:ascii="Times New Roman" w:cs="Times New Roman" w:eastAsia="Times New Roman" w:hAnsi="Times New Roman"/>
          <w:sz w:val="18"/>
          <w:szCs w:val="18"/>
          <w:i w:val="1"/>
          <w:iCs w:val="1"/>
          <w:color w:val="auto"/>
        </w:rPr>
        <w:t>Compensation Discussion and Analysis—Key 2025 Compensation Program Elements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019"/>
          </w:cols>
          <w:pgMar w:left="1440" w:top="1215" w:right="1440" w:bottom="1440" w:gutter="0" w:footer="0" w:header="0"/>
          <w:type w:val="continuous"/>
        </w:sectPr>
      </w:pPr>
    </w:p>
    <w:bookmarkStart w:id="49" w:name="page50"/>
    <w:bookmarkEnd w:id="49"/>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Outstanding Equity Awards at 2025 Fiscal Year-End Table</w:t>
      </w:r>
    </w:p>
    <w:p>
      <w:pPr>
        <w:spacing w:after="0" w:line="246"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held by our named executive officers that remained outstanding as of December 31, 2025.</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52"/>
        </w:trPr>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gridSpan w:val="2"/>
          </w:tcPr>
          <w:p>
            <w:pPr>
              <w:ind w:left="72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8"/>
              </w:rPr>
              <w:t>Equity Incentive</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Equity Incentive</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Plan Awards:</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Market Value of</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Plan Awards:</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Market or Payout</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 Unearned</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Shares or Units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Shares or Units</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Unearned Shares,</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Shares, Units or</w:t>
            </w: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of Stock That</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of Stock That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5"/>
              </w:rPr>
              <w:t>Units or Other</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 Rights That</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66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Rights That Have</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Options (#)</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Options (#)</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Not Vested</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0" w:type="dxa"/>
            <w:vAlign w:val="bottom"/>
          </w:tcPr>
          <w:p>
            <w:pPr>
              <w:spacing w:after="0"/>
              <w:rPr>
                <w:sz w:val="1"/>
                <w:szCs w:val="1"/>
                <w:color w:val="auto"/>
              </w:rPr>
            </w:pPr>
          </w:p>
        </w:tc>
      </w:tr>
      <w:tr>
        <w:trPr>
          <w:trHeight w:val="152"/>
        </w:trPr>
        <w:tc>
          <w:tcPr>
            <w:tcW w:w="80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60" w:type="dxa"/>
            <w:vAlign w:val="bottom"/>
            <w:tcBorders>
              <w:bottom w:val="single" w:sz="8" w:color="FF5715"/>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7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Exercisable</w:t>
            </w:r>
          </w:p>
        </w:tc>
        <w:tc>
          <w:tcPr>
            <w:tcW w:w="8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580" w:type="dxa"/>
            <w:vAlign w:val="bottom"/>
            <w:tcBorders>
              <w:bottom w:val="single" w:sz="8" w:color="FF5715"/>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 xml:space="preserve"> (1)</w:t>
            </w:r>
          </w:p>
        </w:tc>
        <w:tc>
          <w:tcPr>
            <w:tcW w:w="6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9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980" w:type="dxa"/>
            <w:vAlign w:val="bottom"/>
            <w:tcBorders>
              <w:bottom w:val="single" w:sz="8" w:color="FF5715"/>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 xml:space="preserve"> (2)</w:t>
            </w:r>
          </w:p>
        </w:tc>
        <w:tc>
          <w:tcPr>
            <w:tcW w:w="10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FF5715"/>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 xml:space="preserve"> (2)</w:t>
            </w:r>
          </w:p>
        </w:tc>
        <w:tc>
          <w:tcPr>
            <w:tcW w:w="0" w:type="dxa"/>
            <w:vAlign w:val="bottom"/>
          </w:tcPr>
          <w:p>
            <w:pPr>
              <w:spacing w:after="0"/>
              <w:rPr>
                <w:sz w:val="1"/>
                <w:szCs w:val="1"/>
                <w:color w:val="auto"/>
              </w:rPr>
            </w:pPr>
          </w:p>
        </w:tc>
      </w:tr>
      <w:tr>
        <w:trPr>
          <w:trHeight w:val="203"/>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6/19/2018 </w:t>
            </w:r>
            <w:r>
              <w:rPr>
                <w:rFonts w:ascii="Times New Roman" w:cs="Times New Roman" w:eastAsia="Times New Roman" w:hAnsi="Times New Roman"/>
                <w:sz w:val="16"/>
                <w:szCs w:val="16"/>
                <w:color w:val="auto"/>
                <w:vertAlign w:val="superscript"/>
              </w:rPr>
              <w:t>(3)</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12,088</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2"/>
              </w:rPr>
              <w:t>873,116</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(4)</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spacing w:after="0"/>
              <w:rPr>
                <w:sz w:val="17"/>
                <w:szCs w:val="17"/>
                <w:color w:val="auto"/>
              </w:rPr>
            </w:pPr>
          </w:p>
        </w:tc>
        <w:tc>
          <w:tcPr>
            <w:tcW w:w="980" w:type="dxa"/>
            <w:vAlign w:val="bottom"/>
            <w:tcBorders>
              <w:bottom w:val="single" w:sz="8" w:color="B6B6B6"/>
            </w:tcBorders>
            <w:shd w:val="clear" w:color="auto" w:fill="DBDBDB"/>
          </w:tcPr>
          <w:p>
            <w:pPr>
              <w:spacing w:after="0"/>
              <w:rPr>
                <w:sz w:val="17"/>
                <w:szCs w:val="17"/>
                <w:color w:val="auto"/>
              </w:rPr>
            </w:pPr>
          </w:p>
        </w:tc>
        <w:tc>
          <w:tcPr>
            <w:tcW w:w="10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146,927</w:t>
            </w:r>
          </w:p>
        </w:tc>
        <w:tc>
          <w:tcPr>
            <w:tcW w:w="106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9"/>
              </w:rPr>
              <w:t>10,612,537</w:t>
            </w: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(5)</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78,290</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9"/>
              </w:rPr>
              <w:t>5,654,887</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2"/>
                <w:szCs w:val="12"/>
                <w:color w:val="auto"/>
              </w:rPr>
              <w:t>A. Timm</w:t>
            </w: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4/1/2024 </w:t>
            </w:r>
            <w:r>
              <w:rPr>
                <w:rFonts w:ascii="Times New Roman" w:cs="Times New Roman" w:eastAsia="Times New Roman" w:hAnsi="Times New Roman"/>
                <w:sz w:val="16"/>
                <w:szCs w:val="16"/>
                <w:color w:val="auto"/>
                <w:vertAlign w:val="superscript"/>
              </w:rPr>
              <w:t>(6)</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7,672</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554,149</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11/13/2024 </w:t>
            </w:r>
            <w:r>
              <w:rPr>
                <w:rFonts w:ascii="Times New Roman" w:cs="Times New Roman" w:eastAsia="Times New Roman" w:hAnsi="Times New Roman"/>
                <w:sz w:val="16"/>
                <w:szCs w:val="16"/>
                <w:color w:val="auto"/>
                <w:vertAlign w:val="superscript"/>
              </w:rPr>
              <w:t>(7)</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113,659</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5"/>
              </w:rPr>
              <w:t>8,209,590</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(8)</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8,736</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631,001</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(9)</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spacing w:after="0"/>
              <w:rPr>
                <w:sz w:val="17"/>
                <w:szCs w:val="17"/>
                <w:color w:val="auto"/>
              </w:rPr>
            </w:pPr>
          </w:p>
        </w:tc>
        <w:tc>
          <w:tcPr>
            <w:tcW w:w="980" w:type="dxa"/>
            <w:vAlign w:val="bottom"/>
            <w:tcBorders>
              <w:bottom w:val="single" w:sz="8" w:color="B6B6B6"/>
            </w:tcBorders>
            <w:shd w:val="clear" w:color="auto" w:fill="DBDBDB"/>
          </w:tcPr>
          <w:p>
            <w:pPr>
              <w:spacing w:after="0"/>
              <w:rPr>
                <w:sz w:val="17"/>
                <w:szCs w:val="17"/>
                <w:color w:val="auto"/>
              </w:rPr>
            </w:pPr>
          </w:p>
        </w:tc>
        <w:tc>
          <w:tcPr>
            <w:tcW w:w="1020" w:type="dxa"/>
            <w:vAlign w:val="bottom"/>
            <w:tcBorders>
              <w:bottom w:val="single" w:sz="8" w:color="B6B6B6"/>
            </w:tcBorders>
            <w:shd w:val="clear" w:color="auto" w:fill="DBDBDB"/>
          </w:tcPr>
          <w:p>
            <w:pPr>
              <w:jc w:val="center"/>
              <w:ind w:left="2"/>
              <w:spacing w:after="0"/>
              <w:rPr>
                <w:sz w:val="20"/>
                <w:szCs w:val="20"/>
                <w:color w:val="auto"/>
              </w:rPr>
            </w:pPr>
            <w:r>
              <w:rPr>
                <w:rFonts w:ascii="Times New Roman" w:cs="Times New Roman" w:eastAsia="Times New Roman" w:hAnsi="Times New Roman"/>
                <w:sz w:val="12"/>
                <w:szCs w:val="12"/>
                <w:color w:val="auto"/>
                <w:w w:val="96"/>
              </w:rPr>
              <w:t>78,626</w:t>
            </w:r>
          </w:p>
        </w:tc>
        <w:tc>
          <w:tcPr>
            <w:tcW w:w="106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5"/>
              </w:rPr>
              <w:t>5,679,156</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4/18/2019</w:t>
            </w:r>
          </w:p>
        </w:tc>
        <w:tc>
          <w:tcPr>
            <w:tcW w:w="7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9"/>
              </w:rPr>
              <w:t>972</w:t>
            </w:r>
          </w:p>
        </w:tc>
        <w:tc>
          <w:tcPr>
            <w:tcW w:w="820" w:type="dxa"/>
            <w:vAlign w:val="bottom"/>
            <w:tcBorders>
              <w:bottom w:val="single" w:sz="8" w:color="B6B6B6"/>
            </w:tcBorders>
          </w:tcPr>
          <w:p>
            <w:pPr>
              <w:spacing w:after="0"/>
              <w:rPr>
                <w:sz w:val="16"/>
                <w:szCs w:val="16"/>
                <w:color w:val="auto"/>
              </w:rPr>
            </w:pPr>
          </w:p>
        </w:tc>
        <w:tc>
          <w:tcPr>
            <w:tcW w:w="5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43.20</w:t>
            </w:r>
          </w:p>
        </w:tc>
        <w:tc>
          <w:tcPr>
            <w:tcW w:w="6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8"/>
              </w:rPr>
              <w:t>4/17/2029</w:t>
            </w:r>
          </w:p>
        </w:tc>
        <w:tc>
          <w:tcPr>
            <w:tcW w:w="920" w:type="dxa"/>
            <w:vAlign w:val="bottom"/>
            <w:tcBorders>
              <w:bottom w:val="single" w:sz="8" w:color="B6B6B6"/>
            </w:tcBorders>
          </w:tcPr>
          <w:p>
            <w:pPr>
              <w:spacing w:after="0"/>
              <w:rPr>
                <w:sz w:val="16"/>
                <w:szCs w:val="16"/>
                <w:color w:val="auto"/>
              </w:rPr>
            </w:pPr>
          </w:p>
        </w:tc>
        <w:tc>
          <w:tcPr>
            <w:tcW w:w="98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8/29/2020</w:t>
            </w:r>
          </w:p>
        </w:tc>
        <w:tc>
          <w:tcPr>
            <w:tcW w:w="7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9"/>
              </w:rPr>
              <w:t>555</w:t>
            </w: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145.62</w:t>
            </w:r>
          </w:p>
        </w:tc>
        <w:tc>
          <w:tcPr>
            <w:tcW w:w="6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8"/>
              </w:rPr>
              <w:t>8/28/2030</w:t>
            </w:r>
          </w:p>
        </w:tc>
        <w:tc>
          <w:tcPr>
            <w:tcW w:w="92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(10)</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0"/>
              </w:rPr>
              <w:t>11,146</w:t>
            </w:r>
          </w:p>
        </w:tc>
        <w:tc>
          <w:tcPr>
            <w:tcW w:w="10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7"/>
              </w:rPr>
              <w:t>805,076</w:t>
            </w:r>
          </w:p>
        </w:tc>
        <w:tc>
          <w:tcPr>
            <w:tcW w:w="0" w:type="dxa"/>
            <w:vAlign w:val="bottom"/>
          </w:tcPr>
          <w:p>
            <w:pPr>
              <w:spacing w:after="0"/>
              <w:rPr>
                <w:sz w:val="1"/>
                <w:szCs w:val="1"/>
                <w:color w:val="auto"/>
              </w:rPr>
            </w:pPr>
          </w:p>
        </w:tc>
      </w:tr>
      <w:tr>
        <w:trPr>
          <w:trHeight w:val="196"/>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 Binkley</w:t>
            </w: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(11)</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36,234</w:t>
            </w:r>
          </w:p>
        </w:tc>
        <w:tc>
          <w:tcPr>
            <w:tcW w:w="9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9"/>
              </w:rPr>
              <w:t>2,617,182</w:t>
            </w: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w w:val="99"/>
              </w:rPr>
              <w:t xml:space="preserve">11/13/2024 </w:t>
            </w:r>
            <w:r>
              <w:rPr>
                <w:rFonts w:ascii="Times New Roman" w:cs="Times New Roman" w:eastAsia="Times New Roman" w:hAnsi="Times New Roman"/>
                <w:sz w:val="16"/>
                <w:szCs w:val="16"/>
                <w:color w:val="auto"/>
                <w:w w:val="99"/>
                <w:vertAlign w:val="superscript"/>
              </w:rPr>
              <w:t>(12)</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57,868</w:t>
            </w:r>
          </w:p>
        </w:tc>
        <w:tc>
          <w:tcPr>
            <w:tcW w:w="9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5"/>
              </w:rPr>
              <w:t>4,179,806</w:t>
            </w: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(8)</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4,170</w:t>
            </w:r>
          </w:p>
        </w:tc>
        <w:tc>
          <w:tcPr>
            <w:tcW w:w="9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7"/>
              </w:rPr>
              <w:t>301,199</w:t>
            </w: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(9)</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center"/>
              <w:ind w:left="2"/>
              <w:spacing w:after="0"/>
              <w:rPr>
                <w:sz w:val="20"/>
                <w:szCs w:val="20"/>
                <w:color w:val="auto"/>
              </w:rPr>
            </w:pPr>
            <w:r>
              <w:rPr>
                <w:rFonts w:ascii="Times New Roman" w:cs="Times New Roman" w:eastAsia="Times New Roman" w:hAnsi="Times New Roman"/>
                <w:sz w:val="12"/>
                <w:szCs w:val="12"/>
                <w:color w:val="auto"/>
                <w:w w:val="96"/>
              </w:rPr>
              <w:t>37,526</w:t>
            </w:r>
          </w:p>
        </w:tc>
        <w:tc>
          <w:tcPr>
            <w:tcW w:w="10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5"/>
              </w:rPr>
              <w:t>2,710,503</w:t>
            </w:r>
          </w:p>
        </w:tc>
        <w:tc>
          <w:tcPr>
            <w:tcW w:w="0" w:type="dxa"/>
            <w:vAlign w:val="bottom"/>
          </w:tcPr>
          <w:p>
            <w:pPr>
              <w:spacing w:after="0"/>
              <w:rPr>
                <w:sz w:val="1"/>
                <w:szCs w:val="1"/>
                <w:color w:val="auto"/>
              </w:rPr>
            </w:pPr>
          </w:p>
        </w:tc>
      </w:tr>
      <w:tr>
        <w:trPr>
          <w:trHeight w:val="193"/>
        </w:trPr>
        <w:tc>
          <w:tcPr>
            <w:tcW w:w="80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7/21/2018</w:t>
            </w:r>
          </w:p>
        </w:tc>
        <w:tc>
          <w:tcPr>
            <w:tcW w:w="7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3,240</w:t>
            </w:r>
          </w:p>
        </w:tc>
        <w:tc>
          <w:tcPr>
            <w:tcW w:w="820" w:type="dxa"/>
            <w:vAlign w:val="bottom"/>
            <w:tcBorders>
              <w:bottom w:val="single" w:sz="8" w:color="B6B6B6"/>
            </w:tcBorders>
            <w:shd w:val="clear" w:color="auto" w:fill="DBDBDB"/>
          </w:tcPr>
          <w:p>
            <w:pPr>
              <w:spacing w:after="0"/>
              <w:rPr>
                <w:sz w:val="16"/>
                <w:szCs w:val="16"/>
                <w:color w:val="auto"/>
              </w:rPr>
            </w:pPr>
          </w:p>
        </w:tc>
        <w:tc>
          <w:tcPr>
            <w:tcW w:w="5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12.20</w:t>
            </w:r>
          </w:p>
        </w:tc>
        <w:tc>
          <w:tcPr>
            <w:tcW w:w="66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8"/>
              </w:rPr>
              <w:t>7/20/2028</w:t>
            </w:r>
          </w:p>
        </w:tc>
        <w:tc>
          <w:tcPr>
            <w:tcW w:w="920" w:type="dxa"/>
            <w:vAlign w:val="bottom"/>
            <w:tcBorders>
              <w:bottom w:val="single" w:sz="8" w:color="B6B6B6"/>
            </w:tcBorders>
            <w:shd w:val="clear" w:color="auto" w:fill="DBDBDB"/>
          </w:tcPr>
          <w:p>
            <w:pPr>
              <w:spacing w:after="0"/>
              <w:rPr>
                <w:sz w:val="16"/>
                <w:szCs w:val="16"/>
                <w:color w:val="auto"/>
              </w:rPr>
            </w:pPr>
          </w:p>
        </w:tc>
        <w:tc>
          <w:tcPr>
            <w:tcW w:w="980" w:type="dxa"/>
            <w:vAlign w:val="bottom"/>
            <w:tcBorders>
              <w:bottom w:val="single" w:sz="8" w:color="B6B6B6"/>
            </w:tcBorders>
            <w:shd w:val="clear" w:color="auto" w:fill="DBDBDB"/>
          </w:tcPr>
          <w:p>
            <w:pPr>
              <w:spacing w:after="0"/>
              <w:rPr>
                <w:sz w:val="16"/>
                <w:szCs w:val="16"/>
                <w:color w:val="auto"/>
              </w:rPr>
            </w:pPr>
          </w:p>
        </w:tc>
        <w:tc>
          <w:tcPr>
            <w:tcW w:w="1020" w:type="dxa"/>
            <w:vAlign w:val="bottom"/>
            <w:tcBorders>
              <w:bottom w:val="single" w:sz="8" w:color="B6B6B6"/>
            </w:tcBorders>
            <w:shd w:val="clear" w:color="auto" w:fill="DBDBDB"/>
          </w:tcPr>
          <w:p>
            <w:pPr>
              <w:spacing w:after="0"/>
              <w:rPr>
                <w:sz w:val="16"/>
                <w:szCs w:val="16"/>
                <w:color w:val="auto"/>
              </w:rPr>
            </w:pPr>
          </w:p>
        </w:tc>
        <w:tc>
          <w:tcPr>
            <w:tcW w:w="1060" w:type="dxa"/>
            <w:vAlign w:val="bottom"/>
            <w:tcBorders>
              <w:bottom w:val="single" w:sz="8" w:color="B6B6B6"/>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4/18/2019</w:t>
            </w:r>
          </w:p>
        </w:tc>
        <w:tc>
          <w:tcPr>
            <w:tcW w:w="7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12,152</w:t>
            </w: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43.20</w:t>
            </w:r>
          </w:p>
        </w:tc>
        <w:tc>
          <w:tcPr>
            <w:tcW w:w="66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8"/>
              </w:rPr>
              <w:t>4/17/2029</w:t>
            </w:r>
          </w:p>
        </w:tc>
        <w:tc>
          <w:tcPr>
            <w:tcW w:w="920" w:type="dxa"/>
            <w:vAlign w:val="bottom"/>
            <w:tcBorders>
              <w:bottom w:val="single" w:sz="8" w:color="B6B6B6"/>
            </w:tcBorders>
            <w:shd w:val="clear" w:color="auto" w:fill="DBDBDB"/>
          </w:tcPr>
          <w:p>
            <w:pPr>
              <w:spacing w:after="0"/>
              <w:rPr>
                <w:sz w:val="17"/>
                <w:szCs w:val="17"/>
                <w:color w:val="auto"/>
              </w:rPr>
            </w:pPr>
          </w:p>
        </w:tc>
        <w:tc>
          <w:tcPr>
            <w:tcW w:w="980" w:type="dxa"/>
            <w:vAlign w:val="bottom"/>
            <w:tcBorders>
              <w:bottom w:val="single" w:sz="8" w:color="B6B6B6"/>
            </w:tcBorders>
            <w:shd w:val="clear" w:color="auto" w:fill="DBDBDB"/>
          </w:tcPr>
          <w:p>
            <w:pPr>
              <w:spacing w:after="0"/>
              <w:rPr>
                <w:sz w:val="17"/>
                <w:szCs w:val="17"/>
                <w:color w:val="auto"/>
              </w:rPr>
            </w:pP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4/1/2022 </w:t>
            </w:r>
            <w:r>
              <w:rPr>
                <w:rFonts w:ascii="Times New Roman" w:cs="Times New Roman" w:eastAsia="Times New Roman" w:hAnsi="Times New Roman"/>
                <w:sz w:val="16"/>
                <w:szCs w:val="16"/>
                <w:color w:val="auto"/>
                <w:vertAlign w:val="superscript"/>
              </w:rPr>
              <w:t>(13)</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7,360</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531,613</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2"/>
                <w:szCs w:val="12"/>
                <w:color w:val="auto"/>
              </w:rPr>
              <w:t>M.</w:t>
            </w: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(14)</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spacing w:after="0"/>
              <w:rPr>
                <w:sz w:val="17"/>
                <w:szCs w:val="17"/>
                <w:color w:val="auto"/>
              </w:rPr>
            </w:pPr>
          </w:p>
        </w:tc>
        <w:tc>
          <w:tcPr>
            <w:tcW w:w="980" w:type="dxa"/>
            <w:vAlign w:val="bottom"/>
            <w:tcBorders>
              <w:bottom w:val="single" w:sz="8" w:color="B6B6B6"/>
            </w:tcBorders>
            <w:shd w:val="clear" w:color="auto" w:fill="DBDBDB"/>
          </w:tcPr>
          <w:p>
            <w:pPr>
              <w:spacing w:after="0"/>
              <w:rPr>
                <w:sz w:val="17"/>
                <w:szCs w:val="17"/>
                <w:color w:val="auto"/>
              </w:rPr>
            </w:pPr>
          </w:p>
        </w:tc>
        <w:tc>
          <w:tcPr>
            <w:tcW w:w="10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100,433</w:t>
            </w:r>
          </w:p>
        </w:tc>
        <w:tc>
          <w:tcPr>
            <w:tcW w:w="106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5"/>
              </w:rPr>
              <w:t>7,254,276</w:t>
            </w: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ind w:left="60"/>
              <w:spacing w:after="0" w:line="136" w:lineRule="exact"/>
              <w:rPr>
                <w:sz w:val="20"/>
                <w:szCs w:val="20"/>
                <w:color w:val="auto"/>
              </w:rPr>
            </w:pPr>
            <w:r>
              <w:rPr>
                <w:rFonts w:ascii="Times New Roman" w:cs="Times New Roman" w:eastAsia="Times New Roman" w:hAnsi="Times New Roman"/>
                <w:sz w:val="12"/>
                <w:szCs w:val="12"/>
                <w:color w:val="auto"/>
              </w:rPr>
              <w:t>Bonakdarpour</w:t>
            </w: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(15)</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56,285</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5"/>
              </w:rPr>
              <w:t>4,065,466</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w w:val="99"/>
              </w:rPr>
              <w:t xml:space="preserve">11/13/2024 </w:t>
            </w:r>
            <w:r>
              <w:rPr>
                <w:rFonts w:ascii="Times New Roman" w:cs="Times New Roman" w:eastAsia="Times New Roman" w:hAnsi="Times New Roman"/>
                <w:sz w:val="16"/>
                <w:szCs w:val="16"/>
                <w:color w:val="auto"/>
                <w:w w:val="99"/>
                <w:vertAlign w:val="superscript"/>
              </w:rPr>
              <w:t>(16)</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101,958</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9"/>
              </w:rPr>
              <w:t>7,364,426</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(8)</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5,877</w:t>
            </w:r>
          </w:p>
        </w:tc>
        <w:tc>
          <w:tcPr>
            <w:tcW w:w="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424,496</w:t>
            </w:r>
          </w:p>
        </w:tc>
        <w:tc>
          <w:tcPr>
            <w:tcW w:w="1020" w:type="dxa"/>
            <w:vAlign w:val="bottom"/>
            <w:tcBorders>
              <w:bottom w:val="single" w:sz="8" w:color="B6B6B6"/>
            </w:tcBorders>
            <w:shd w:val="clear" w:color="auto" w:fill="DBDBDB"/>
          </w:tcPr>
          <w:p>
            <w:pPr>
              <w:spacing w:after="0"/>
              <w:rPr>
                <w:sz w:val="17"/>
                <w:szCs w:val="17"/>
                <w:color w:val="auto"/>
              </w:rPr>
            </w:pPr>
          </w:p>
        </w:tc>
        <w:tc>
          <w:tcPr>
            <w:tcW w:w="1060" w:type="dxa"/>
            <w:vAlign w:val="bottom"/>
            <w:tcBorders>
              <w:bottom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shd w:val="clear" w:color="auto" w:fill="DBDBDB"/>
          </w:tcPr>
          <w:p>
            <w:pPr>
              <w:spacing w:after="0"/>
              <w:rPr>
                <w:sz w:val="17"/>
                <w:szCs w:val="17"/>
                <w:color w:val="auto"/>
              </w:rPr>
            </w:pPr>
          </w:p>
        </w:tc>
        <w:tc>
          <w:tcPr>
            <w:tcW w:w="860" w:type="dxa"/>
            <w:vAlign w:val="bottom"/>
            <w:tcBorders>
              <w:bottom w:val="single" w:sz="8" w:color="B6B6B6"/>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(9)</w:t>
            </w:r>
          </w:p>
        </w:tc>
        <w:tc>
          <w:tcPr>
            <w:tcW w:w="720" w:type="dxa"/>
            <w:vAlign w:val="bottom"/>
            <w:tcBorders>
              <w:bottom w:val="single" w:sz="8" w:color="B6B6B6"/>
            </w:tcBorders>
            <w:shd w:val="clear" w:color="auto" w:fill="DBDBDB"/>
          </w:tcPr>
          <w:p>
            <w:pPr>
              <w:spacing w:after="0"/>
              <w:rPr>
                <w:sz w:val="17"/>
                <w:szCs w:val="17"/>
                <w:color w:val="auto"/>
              </w:rPr>
            </w:pPr>
          </w:p>
        </w:tc>
        <w:tc>
          <w:tcPr>
            <w:tcW w:w="820" w:type="dxa"/>
            <w:vAlign w:val="bottom"/>
            <w:tcBorders>
              <w:bottom w:val="single" w:sz="8" w:color="B6B6B6"/>
            </w:tcBorders>
            <w:shd w:val="clear" w:color="auto" w:fill="DBDBDB"/>
          </w:tcPr>
          <w:p>
            <w:pPr>
              <w:spacing w:after="0"/>
              <w:rPr>
                <w:sz w:val="17"/>
                <w:szCs w:val="17"/>
                <w:color w:val="auto"/>
              </w:rPr>
            </w:pPr>
          </w:p>
        </w:tc>
        <w:tc>
          <w:tcPr>
            <w:tcW w:w="580" w:type="dxa"/>
            <w:vAlign w:val="bottom"/>
            <w:tcBorders>
              <w:bottom w:val="single" w:sz="8" w:color="B6B6B6"/>
            </w:tcBorders>
            <w:shd w:val="clear" w:color="auto" w:fill="DBDBDB"/>
          </w:tcPr>
          <w:p>
            <w:pPr>
              <w:spacing w:after="0"/>
              <w:rPr>
                <w:sz w:val="17"/>
                <w:szCs w:val="17"/>
                <w:color w:val="auto"/>
              </w:rPr>
            </w:pPr>
          </w:p>
        </w:tc>
        <w:tc>
          <w:tcPr>
            <w:tcW w:w="660" w:type="dxa"/>
            <w:vAlign w:val="bottom"/>
            <w:tcBorders>
              <w:bottom w:val="single" w:sz="8" w:color="B6B6B6"/>
            </w:tcBorders>
            <w:shd w:val="clear" w:color="auto" w:fill="DBDBDB"/>
          </w:tcPr>
          <w:p>
            <w:pPr>
              <w:spacing w:after="0"/>
              <w:rPr>
                <w:sz w:val="17"/>
                <w:szCs w:val="17"/>
                <w:color w:val="auto"/>
              </w:rPr>
            </w:pPr>
          </w:p>
        </w:tc>
        <w:tc>
          <w:tcPr>
            <w:tcW w:w="920" w:type="dxa"/>
            <w:vAlign w:val="bottom"/>
            <w:tcBorders>
              <w:bottom w:val="single" w:sz="8" w:color="B6B6B6"/>
            </w:tcBorders>
            <w:shd w:val="clear" w:color="auto" w:fill="DBDBDB"/>
          </w:tcPr>
          <w:p>
            <w:pPr>
              <w:spacing w:after="0"/>
              <w:rPr>
                <w:sz w:val="17"/>
                <w:szCs w:val="17"/>
                <w:color w:val="auto"/>
              </w:rPr>
            </w:pPr>
          </w:p>
        </w:tc>
        <w:tc>
          <w:tcPr>
            <w:tcW w:w="980" w:type="dxa"/>
            <w:vAlign w:val="bottom"/>
            <w:tcBorders>
              <w:bottom w:val="single" w:sz="8" w:color="B6B6B6"/>
            </w:tcBorders>
            <w:shd w:val="clear" w:color="auto" w:fill="DBDBDB"/>
          </w:tcPr>
          <w:p>
            <w:pPr>
              <w:spacing w:after="0"/>
              <w:rPr>
                <w:sz w:val="17"/>
                <w:szCs w:val="17"/>
                <w:color w:val="auto"/>
              </w:rPr>
            </w:pPr>
          </w:p>
        </w:tc>
        <w:tc>
          <w:tcPr>
            <w:tcW w:w="1020" w:type="dxa"/>
            <w:vAlign w:val="bottom"/>
            <w:tcBorders>
              <w:bottom w:val="single" w:sz="8" w:color="B6B6B6"/>
            </w:tcBorders>
            <w:shd w:val="clear" w:color="auto" w:fill="DBDBDB"/>
          </w:tcPr>
          <w:p>
            <w:pPr>
              <w:jc w:val="center"/>
              <w:ind w:left="2"/>
              <w:spacing w:after="0"/>
              <w:rPr>
                <w:sz w:val="20"/>
                <w:szCs w:val="20"/>
                <w:color w:val="auto"/>
              </w:rPr>
            </w:pPr>
            <w:r>
              <w:rPr>
                <w:rFonts w:ascii="Times New Roman" w:cs="Times New Roman" w:eastAsia="Times New Roman" w:hAnsi="Times New Roman"/>
                <w:sz w:val="12"/>
                <w:szCs w:val="12"/>
                <w:color w:val="auto"/>
                <w:w w:val="96"/>
              </w:rPr>
              <w:t>52,895</w:t>
            </w:r>
          </w:p>
        </w:tc>
        <w:tc>
          <w:tcPr>
            <w:tcW w:w="106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5"/>
              </w:rPr>
              <w:t>3,820,606</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16"/>
                <w:szCs w:val="16"/>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12/13/2017</w:t>
            </w:r>
          </w:p>
        </w:tc>
        <w:tc>
          <w:tcPr>
            <w:tcW w:w="7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10,636</w:t>
            </w:r>
          </w:p>
        </w:tc>
        <w:tc>
          <w:tcPr>
            <w:tcW w:w="820" w:type="dxa"/>
            <w:vAlign w:val="bottom"/>
            <w:tcBorders>
              <w:bottom w:val="single" w:sz="8" w:color="B6B6B6"/>
            </w:tcBorders>
          </w:tcPr>
          <w:p>
            <w:pPr>
              <w:spacing w:after="0"/>
              <w:rPr>
                <w:sz w:val="16"/>
                <w:szCs w:val="16"/>
                <w:color w:val="auto"/>
              </w:rPr>
            </w:pPr>
          </w:p>
        </w:tc>
        <w:tc>
          <w:tcPr>
            <w:tcW w:w="5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rPr>
              <w:t>5.15</w:t>
            </w:r>
          </w:p>
        </w:tc>
        <w:tc>
          <w:tcPr>
            <w:tcW w:w="6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8"/>
              </w:rPr>
              <w:t>12/12/2027</w:t>
            </w:r>
          </w:p>
        </w:tc>
        <w:tc>
          <w:tcPr>
            <w:tcW w:w="920" w:type="dxa"/>
            <w:vAlign w:val="bottom"/>
            <w:tcBorders>
              <w:bottom w:val="single" w:sz="8" w:color="B6B6B6"/>
            </w:tcBorders>
          </w:tcPr>
          <w:p>
            <w:pPr>
              <w:spacing w:after="0"/>
              <w:rPr>
                <w:sz w:val="16"/>
                <w:szCs w:val="16"/>
                <w:color w:val="auto"/>
              </w:rPr>
            </w:pPr>
          </w:p>
        </w:tc>
        <w:tc>
          <w:tcPr>
            <w:tcW w:w="98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7/16/2019</w:t>
            </w:r>
          </w:p>
        </w:tc>
        <w:tc>
          <w:tcPr>
            <w:tcW w:w="7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1,388</w:t>
            </w: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43.20</w:t>
            </w:r>
          </w:p>
        </w:tc>
        <w:tc>
          <w:tcPr>
            <w:tcW w:w="6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8"/>
              </w:rPr>
              <w:t>7/15/2029</w:t>
            </w:r>
          </w:p>
        </w:tc>
        <w:tc>
          <w:tcPr>
            <w:tcW w:w="92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(17)</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center"/>
              <w:ind w:left="2"/>
              <w:spacing w:after="0"/>
              <w:rPr>
                <w:sz w:val="20"/>
                <w:szCs w:val="20"/>
                <w:color w:val="auto"/>
              </w:rPr>
            </w:pPr>
            <w:r>
              <w:rPr>
                <w:rFonts w:ascii="Times New Roman" w:cs="Times New Roman" w:eastAsia="Times New Roman" w:hAnsi="Times New Roman"/>
                <w:sz w:val="12"/>
                <w:szCs w:val="12"/>
                <w:color w:val="auto"/>
                <w:w w:val="96"/>
              </w:rPr>
              <w:t>15,031</w:t>
            </w:r>
          </w:p>
        </w:tc>
        <w:tc>
          <w:tcPr>
            <w:tcW w:w="10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5"/>
              </w:rPr>
              <w:t>1,085,689</w:t>
            </w:r>
          </w:p>
        </w:tc>
        <w:tc>
          <w:tcPr>
            <w:tcW w:w="0" w:type="dxa"/>
            <w:vAlign w:val="bottom"/>
          </w:tcPr>
          <w:p>
            <w:pPr>
              <w:spacing w:after="0"/>
              <w:rPr>
                <w:sz w:val="1"/>
                <w:szCs w:val="1"/>
                <w:color w:val="auto"/>
              </w:rPr>
            </w:pPr>
          </w:p>
        </w:tc>
      </w:tr>
      <w:tr>
        <w:trPr>
          <w:trHeight w:val="196"/>
        </w:trPr>
        <w:tc>
          <w:tcPr>
            <w:tcW w:w="8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J. Allison</w:t>
            </w: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8/9/2023 </w:t>
            </w:r>
            <w:r>
              <w:rPr>
                <w:rFonts w:ascii="Times New Roman" w:cs="Times New Roman" w:eastAsia="Times New Roman" w:hAnsi="Times New Roman"/>
                <w:sz w:val="16"/>
                <w:szCs w:val="16"/>
                <w:color w:val="auto"/>
                <w:vertAlign w:val="superscript"/>
              </w:rPr>
              <w:t>(18)</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36,234</w:t>
            </w:r>
          </w:p>
        </w:tc>
        <w:tc>
          <w:tcPr>
            <w:tcW w:w="9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5"/>
              </w:rPr>
              <w:t>2,617,182</w:t>
            </w: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w w:val="99"/>
              </w:rPr>
              <w:t xml:space="preserve">11/13/2024 </w:t>
            </w:r>
            <w:r>
              <w:rPr>
                <w:rFonts w:ascii="Times New Roman" w:cs="Times New Roman" w:eastAsia="Times New Roman" w:hAnsi="Times New Roman"/>
                <w:sz w:val="16"/>
                <w:szCs w:val="16"/>
                <w:color w:val="auto"/>
                <w:w w:val="99"/>
                <w:vertAlign w:val="superscript"/>
              </w:rPr>
              <w:t>(19)</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55,116</w:t>
            </w:r>
          </w:p>
        </w:tc>
        <w:tc>
          <w:tcPr>
            <w:tcW w:w="9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9"/>
              </w:rPr>
              <w:t>3,981,029</w:t>
            </w: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(8)</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6"/>
              </w:rPr>
              <w:t>3,812</w:t>
            </w:r>
          </w:p>
        </w:tc>
        <w:tc>
          <w:tcPr>
            <w:tcW w:w="98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7"/>
              </w:rPr>
              <w:t>275,341</w:t>
            </w:r>
          </w:p>
        </w:tc>
        <w:tc>
          <w:tcPr>
            <w:tcW w:w="10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B6B6B6"/>
            </w:tcBorders>
          </w:tcPr>
          <w:p>
            <w:pPr>
              <w:ind w:left="40"/>
              <w:spacing w:after="0"/>
              <w:rPr>
                <w:sz w:val="20"/>
                <w:szCs w:val="20"/>
                <w:color w:val="auto"/>
              </w:rPr>
            </w:pPr>
            <w:r>
              <w:rPr>
                <w:rFonts w:ascii="Times New Roman" w:cs="Times New Roman" w:eastAsia="Times New Roman" w:hAnsi="Times New Roman"/>
                <w:sz w:val="13"/>
                <w:szCs w:val="13"/>
                <w:color w:val="auto"/>
              </w:rPr>
              <w:t xml:space="preserve">5/21/2025 </w:t>
            </w:r>
            <w:r>
              <w:rPr>
                <w:rFonts w:ascii="Times New Roman" w:cs="Times New Roman" w:eastAsia="Times New Roman" w:hAnsi="Times New Roman"/>
                <w:sz w:val="16"/>
                <w:szCs w:val="16"/>
                <w:color w:val="auto"/>
                <w:vertAlign w:val="superscript"/>
              </w:rPr>
              <w:t>(9)</w:t>
            </w:r>
          </w:p>
        </w:tc>
        <w:tc>
          <w:tcPr>
            <w:tcW w:w="7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580" w:type="dxa"/>
            <w:vAlign w:val="bottom"/>
            <w:tcBorders>
              <w:bottom w:val="single" w:sz="8" w:color="B6B6B6"/>
            </w:tcBorders>
          </w:tcPr>
          <w:p>
            <w:pPr>
              <w:spacing w:after="0"/>
              <w:rPr>
                <w:sz w:val="17"/>
                <w:szCs w:val="17"/>
                <w:color w:val="auto"/>
              </w:rPr>
            </w:pPr>
          </w:p>
        </w:tc>
        <w:tc>
          <w:tcPr>
            <w:tcW w:w="6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center"/>
              <w:ind w:left="2"/>
              <w:spacing w:after="0"/>
              <w:rPr>
                <w:sz w:val="20"/>
                <w:szCs w:val="20"/>
                <w:color w:val="auto"/>
              </w:rPr>
            </w:pPr>
            <w:r>
              <w:rPr>
                <w:rFonts w:ascii="Times New Roman" w:cs="Times New Roman" w:eastAsia="Times New Roman" w:hAnsi="Times New Roman"/>
                <w:sz w:val="12"/>
                <w:szCs w:val="12"/>
                <w:color w:val="auto"/>
                <w:w w:val="96"/>
              </w:rPr>
              <w:t>34,310</w:t>
            </w:r>
          </w:p>
        </w:tc>
        <w:tc>
          <w:tcPr>
            <w:tcW w:w="1060" w:type="dxa"/>
            <w:vAlign w:val="bottom"/>
            <w:tcBorders>
              <w:bottom w:val="single" w:sz="8" w:color="B6B6B6"/>
            </w:tcBorders>
          </w:tcPr>
          <w:p>
            <w:pPr>
              <w:jc w:val="center"/>
              <w:spacing w:after="0"/>
              <w:rPr>
                <w:sz w:val="20"/>
                <w:szCs w:val="20"/>
                <w:color w:val="auto"/>
              </w:rPr>
            </w:pPr>
            <w:r>
              <w:rPr>
                <w:rFonts w:ascii="Times New Roman" w:cs="Times New Roman" w:eastAsia="Times New Roman" w:hAnsi="Times New Roman"/>
                <w:sz w:val="12"/>
                <w:szCs w:val="12"/>
                <w:color w:val="auto"/>
                <w:w w:val="95"/>
              </w:rPr>
              <w:t>2,478,211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20" w:right="319" w:hanging="328"/>
        <w:spacing w:after="0" w:line="282"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were granted with a per share exercise price equal to the fair market value of one share of our common stock on the date of grant.</w:t>
      </w:r>
    </w:p>
    <w:p>
      <w:pPr>
        <w:spacing w:after="0" w:line="27" w:lineRule="exact"/>
        <w:rPr>
          <w:sz w:val="20"/>
          <w:szCs w:val="20"/>
          <w:color w:val="auto"/>
        </w:rPr>
      </w:pPr>
    </w:p>
    <w:p>
      <w:pPr>
        <w:ind w:left="300"/>
        <w:spacing w:after="0"/>
        <w:tabs>
          <w:tab w:leader="none" w:pos="600" w:val="left"/>
          <w:tab w:leader="none" w:pos="7320" w:val="left"/>
        </w:tabs>
        <w:rPr>
          <w:sz w:val="20"/>
          <w:szCs w:val="20"/>
          <w:color w:val="auto"/>
        </w:rPr>
      </w:pPr>
      <w:r>
        <w:rPr>
          <w:rFonts w:ascii="Times New Roman" w:cs="Times New Roman" w:eastAsia="Times New Roman" w:hAnsi="Times New Roman"/>
          <w:sz w:val="14"/>
          <w:szCs w:val="14"/>
          <w:color w:val="auto"/>
        </w:rPr>
        <w:t>(2)</w:t>
        <w:tab/>
        <w:t>Market value represents the product of the closing price of a share of the Company’s Class A common stock on</w:t>
      </w:r>
      <w:r>
        <w:rPr>
          <w:sz w:val="20"/>
          <w:szCs w:val="20"/>
          <w:color w:val="auto"/>
        </w:rPr>
        <w:tab/>
      </w:r>
      <w:r>
        <w:rPr>
          <w:rFonts w:ascii="Times New Roman" w:cs="Times New Roman" w:eastAsia="Times New Roman" w:hAnsi="Times New Roman"/>
          <w:sz w:val="14"/>
          <w:szCs w:val="14"/>
          <w:color w:val="auto"/>
        </w:rPr>
        <w:t>December 31, 2025 , of</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$72.23 per share, multiplied by the number of RSUs or PSUs.</w:t>
      </w:r>
    </w:p>
    <w:p>
      <w:pPr>
        <w:spacing w:after="0" w:line="53" w:lineRule="exact"/>
        <w:rPr>
          <w:sz w:val="20"/>
          <w:szCs w:val="20"/>
          <w:color w:val="auto"/>
        </w:rPr>
      </w:pPr>
    </w:p>
    <w:p>
      <w:pPr>
        <w:ind w:left="620" w:right="299" w:hanging="328"/>
        <w:spacing w:after="0" w:line="250" w:lineRule="auto"/>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number of shares acquired upon exercise of stock options that remained unvested on December 31, 2025. Stock options granted to our named executive officers under the 2015 Equity Incentive Plan (as described below) permitted early exercise and, if such options are or were exercised, the stock acquired upon the exercise of such options is restricted and subject to a repurchase right in favor of the Company. Such repurchase right lapses, and vesting occurs, with respect to such restricted stock on the same vesting schedule as the original stock option award. Restricted stock acquired by Mr. Timm upon the early exercise of stock options vests in equal monthly installments through June 2026.</w:t>
      </w:r>
    </w:p>
    <w:p>
      <w:pPr>
        <w:spacing w:after="0" w:line="201" w:lineRule="exact"/>
        <w:rPr>
          <w:rFonts w:ascii="Times New Roman" w:cs="Times New Roman" w:eastAsia="Times New Roman" w:hAnsi="Times New Roman"/>
          <w:sz w:val="14"/>
          <w:szCs w:val="14"/>
          <w:color w:val="auto"/>
        </w:rPr>
      </w:pPr>
    </w:p>
    <w:p>
      <w:pPr>
        <w:ind w:left="620" w:right="559" w:hanging="328"/>
        <w:spacing w:after="0" w:line="282" w:lineRule="auto"/>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62,969 PSUs were earned and vested on April 1, 2026 and the remaining 83,958 PSUs are scheduled to vest on April 1, 2027, subject to attainment of a specified stock price threshold.</w:t>
      </w:r>
    </w:p>
    <w:p>
      <w:pPr>
        <w:spacing w:after="0" w:line="13"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32,997 RSUs vested on April 1, 2026 and the remaining 45,293 RSUs are scheduled to vest on April 1, 2027.</w:t>
      </w:r>
    </w:p>
    <w:p>
      <w:pPr>
        <w:spacing w:after="0" w:line="68"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RSUs vested on April 1, 2026.</w:t>
      </w:r>
    </w:p>
    <w:p>
      <w:pPr>
        <w:spacing w:after="0" w:line="82" w:lineRule="exact"/>
        <w:rPr>
          <w:rFonts w:ascii="Times New Roman" w:cs="Times New Roman" w:eastAsia="Times New Roman" w:hAnsi="Times New Roman"/>
          <w:sz w:val="14"/>
          <w:szCs w:val="14"/>
          <w:color w:val="auto"/>
        </w:rPr>
      </w:pPr>
    </w:p>
    <w:p>
      <w:pPr>
        <w:ind w:left="620" w:right="399" w:hanging="328"/>
        <w:spacing w:after="0" w:line="282" w:lineRule="auto"/>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PSUs granted for the fiscal 2025 performance period, which are deemed to be earned because the performance condition was achieved at the end of 2025, are included in this column because the stock had not yet vested as of the last day of the fiscal year. 28,414</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019"/>
          </w:cols>
          <w:pgMar w:left="1440" w:top="1215" w:right="1440" w:bottom="1440" w:gutter="0" w:footer="0" w:header="0"/>
          <w:type w:val="continuous"/>
        </w:sectPr>
      </w:pPr>
    </w:p>
    <w:bookmarkStart w:id="50" w:name="page51"/>
    <w:bookmarkEnd w:id="50"/>
    <w:p>
      <w:pPr>
        <w:ind w:left="620" w:right="599"/>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PSUs vested on February 19, 2026 and the remaining PSUs are scheduled to vest as to 28,415 units on January 1, 2027, 28,414 units on January 1, 2028, and 28,416 units on January 1, 2029.</w:t>
      </w:r>
    </w:p>
    <w:p>
      <w:pPr>
        <w:spacing w:after="0" w:line="13" w:lineRule="exact"/>
        <w:rPr>
          <w:sz w:val="20"/>
          <w:szCs w:val="20"/>
          <w:color w:val="auto"/>
        </w:rPr>
      </w:pPr>
    </w:p>
    <w:p>
      <w:pPr>
        <w:ind w:left="620" w:right="379" w:hanging="328"/>
        <w:spacing w:after="0" w:line="261" w:lineRule="auto"/>
        <w:tabs>
          <w:tab w:leader="none" w:pos="6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portion of the 2025 PSUs, which vested for the fiscal 2025 sub-performance period, which are deemed to be earned because the performance condition was achieved at the end of 2025, and are included in this column because the stock had not yet vested as of the last day of the fiscal year. These PSUs vested and settled on February 19, 2026.</w:t>
      </w:r>
    </w:p>
    <w:p>
      <w:pPr>
        <w:spacing w:after="0" w:line="28" w:lineRule="exact"/>
        <w:rPr>
          <w:sz w:val="20"/>
          <w:szCs w:val="20"/>
          <w:color w:val="auto"/>
        </w:rPr>
      </w:pPr>
    </w:p>
    <w:p>
      <w:pPr>
        <w:ind w:left="620" w:right="319" w:hanging="319"/>
        <w:spacing w:after="0" w:line="250" w:lineRule="auto"/>
        <w:tabs>
          <w:tab w:leader="none" w:pos="600" w:val="left"/>
        </w:tabs>
        <w:rPr>
          <w:sz w:val="20"/>
          <w:szCs w:val="20"/>
          <w:color w:val="auto"/>
        </w:rPr>
      </w:pPr>
      <w:r>
        <w:rPr>
          <w:rFonts w:ascii="Times New Roman" w:cs="Times New Roman" w:eastAsia="Times New Roman" w:hAnsi="Times New Roman"/>
          <w:sz w:val="14"/>
          <w:szCs w:val="14"/>
          <w:color w:val="auto"/>
        </w:rPr>
        <w:t>(9)</w:t>
        <w:tab/>
        <w:t>Remaining 2025 PSUs are reported at maximum , of which a portion may be earned after the fiscal 2025 through fiscal 2026 sub-performance period and the remainder may be earned after the overall fiscal 2025 through fiscal 2027 performance period with the opportunity to earn 200% of the overall granted target PSUs subject to the achievement against a predetermined Gross Accident Period Loss Ratio and Policies In Force goal matrix. See the “Estimated Future Payouts under Equity Incentive Plan Awards” columns of the “2025 Grants of Plan-Based Awards Table” table on page 44 of this Proxy Statement for the threshold, target, and maximum numbers of PSUs that can be earned.</w:t>
      </w:r>
    </w:p>
    <w:p>
      <w:pPr>
        <w:spacing w:after="0" w:line="201" w:lineRule="exact"/>
        <w:rPr>
          <w:sz w:val="20"/>
          <w:szCs w:val="20"/>
          <w:color w:val="auto"/>
        </w:rPr>
      </w:pPr>
    </w:p>
    <w:p>
      <w:pPr>
        <w:ind w:left="620" w:right="719" w:hanging="328"/>
        <w:spacing w:after="0" w:line="282" w:lineRule="auto"/>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4,777 PSUs were earned and vested on April 1, 2026 and the remaining 6,369 PSUs are scheduled to vest on April 1, 2027, subject to attainment of a specified stock price threshold.</w:t>
      </w:r>
    </w:p>
    <w:p>
      <w:pPr>
        <w:spacing w:after="0" w:line="2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18,117 RSUs vested on April 1, 2026 and the remaining 18,117 RSUs are scheduled to vest on April 1, 2027.</w:t>
      </w:r>
    </w:p>
    <w:p>
      <w:pPr>
        <w:spacing w:after="0" w:line="68" w:lineRule="exact"/>
        <w:rPr>
          <w:rFonts w:ascii="Times New Roman" w:cs="Times New Roman" w:eastAsia="Times New Roman" w:hAnsi="Times New Roman"/>
          <w:sz w:val="14"/>
          <w:szCs w:val="14"/>
          <w:color w:val="auto"/>
        </w:rPr>
      </w:pPr>
    </w:p>
    <w:p>
      <w:pPr>
        <w:ind w:left="620" w:right="399" w:hanging="328"/>
        <w:spacing w:after="0" w:line="255" w:lineRule="auto"/>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PSUs granted for the fiscal 2025 performance period, which are deemed to be earned because the performance condition was achieved at the end of 2025, are included in this column because the stock had not yet vested as of the last day of the fiscal year. 14,466 PSUs vested on February 19, 2026 and the remaining PSUs are scheduled to vest as to 14,467 units on January 1, 2027, 14,467 units on January 1, 2028, and 14,468 units on January 1, 2029.</w:t>
      </w:r>
    </w:p>
    <w:p>
      <w:pPr>
        <w:spacing w:after="0" w:line="31"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3,680 RSUs vested on January 2, 2026 and 3,680 RSUs vested on April 1, 2026.</w:t>
      </w:r>
    </w:p>
    <w:p>
      <w:pPr>
        <w:spacing w:after="0" w:line="68" w:lineRule="exact"/>
        <w:rPr>
          <w:rFonts w:ascii="Times New Roman" w:cs="Times New Roman" w:eastAsia="Times New Roman" w:hAnsi="Times New Roman"/>
          <w:sz w:val="14"/>
          <w:szCs w:val="14"/>
          <w:color w:val="auto"/>
        </w:rPr>
      </w:pPr>
    </w:p>
    <w:p>
      <w:pPr>
        <w:ind w:left="620" w:right="559" w:hanging="328"/>
        <w:spacing w:after="0" w:line="282" w:lineRule="auto"/>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43,043 PSUs were earned and vested on April 1, 2026 and the remaining 57,390 PSUs are scheduled to vest on April 1, 2027, subject to attainment of a specified stock price threshold.</w:t>
      </w:r>
    </w:p>
    <w:p>
      <w:pPr>
        <w:spacing w:after="0" w:line="2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24,399 RSUs vested on April 1, 2026 and the remaining 31,886 RSUs are scheduled to vest on April 1, 2027.</w:t>
      </w:r>
    </w:p>
    <w:p>
      <w:pPr>
        <w:spacing w:after="0" w:line="68" w:lineRule="exact"/>
        <w:rPr>
          <w:rFonts w:ascii="Times New Roman" w:cs="Times New Roman" w:eastAsia="Times New Roman" w:hAnsi="Times New Roman"/>
          <w:sz w:val="14"/>
          <w:szCs w:val="14"/>
          <w:color w:val="auto"/>
        </w:rPr>
      </w:pPr>
    </w:p>
    <w:p>
      <w:pPr>
        <w:ind w:left="620" w:right="399" w:hanging="328"/>
        <w:spacing w:after="0" w:line="255" w:lineRule="auto"/>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PSUs granted for the fiscal 2025 performance period, which are deemed to be earned because the performance condition was achieved at the end of 2025, are included in this column because the stock had not yet vested as of the last day of the fiscal year. 25,490 PSUs vested on February 19, 2026 and the remaining PSUs are scheduled to vest as to 25,490 units on January 1, 2027, 25,490 units on January 1, 2028, and 25,488 units on January 1, 2029.</w:t>
      </w:r>
    </w:p>
    <w:p>
      <w:pPr>
        <w:spacing w:after="0" w:line="31" w:lineRule="exact"/>
        <w:rPr>
          <w:rFonts w:ascii="Times New Roman" w:cs="Times New Roman" w:eastAsia="Times New Roman" w:hAnsi="Times New Roman"/>
          <w:sz w:val="14"/>
          <w:szCs w:val="14"/>
          <w:color w:val="auto"/>
        </w:rPr>
      </w:pPr>
    </w:p>
    <w:p>
      <w:pPr>
        <w:ind w:left="620" w:right="719" w:hanging="328"/>
        <w:spacing w:after="0" w:line="282" w:lineRule="auto"/>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6,442 PSUs were earned and vested on April 1, 2026 and the remaining 8,589 PSUs are scheduled to vest on April 1, 2027, subject to attainment of a specified stock price threshold.</w:t>
      </w:r>
    </w:p>
    <w:p>
      <w:pPr>
        <w:spacing w:after="0" w:line="13"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18,117 RSUs vested on April 1, 2026 and the remaining 18,117 RSUs are scheduled to vest on April 1, 2027.</w:t>
      </w:r>
    </w:p>
    <w:p>
      <w:pPr>
        <w:spacing w:after="0" w:line="68" w:lineRule="exact"/>
        <w:rPr>
          <w:rFonts w:ascii="Times New Roman" w:cs="Times New Roman" w:eastAsia="Times New Roman" w:hAnsi="Times New Roman"/>
          <w:sz w:val="14"/>
          <w:szCs w:val="14"/>
          <w:color w:val="auto"/>
        </w:rPr>
      </w:pPr>
    </w:p>
    <w:p>
      <w:pPr>
        <w:ind w:left="620" w:right="339" w:hanging="328"/>
        <w:spacing w:after="0" w:line="255" w:lineRule="auto"/>
        <w:tabs>
          <w:tab w:leader="none" w:pos="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PSUs granted for the Fiscal 2025 performance period, which are deemed to be earned because the performance condition was achieved at the end of fiscal 2025, are included in this column because the stock had not yet vested as of the last day of the fiscal year. 13,779 PSUs vested on February 19, 2026 and the remaining PSUs are scheduled to vest as to 13,780 units on January 1, 2027, 13,780 units on January 1, 2028, and 13,777 units on January 1, 2029.</w:t>
      </w: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1224" w:right="1440" w:bottom="1440" w:gutter="0" w:footer="0" w:header="0"/>
          <w:type w:val="continuous"/>
        </w:sectPr>
      </w:pPr>
    </w:p>
    <w:bookmarkStart w:id="51" w:name="page52"/>
    <w:bookmarkEnd w:id="51"/>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2025 Option Exercises and Stock Vested Table</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information regarding restricted stock or restricted stock units that vested during 2025.</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960" w:type="dxa"/>
            <w:vAlign w:val="bottom"/>
            <w:gridSpan w:val="3"/>
          </w:tcPr>
          <w:p>
            <w:pPr>
              <w:jc w:val="center"/>
              <w:ind w:right="190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 Acquired</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4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on Vesting</w:t>
            </w:r>
          </w:p>
        </w:tc>
        <w:tc>
          <w:tcPr>
            <w:tcW w:w="560" w:type="dxa"/>
            <w:vAlign w:val="bottom"/>
          </w:tcPr>
          <w:p>
            <w:pPr>
              <w:spacing w:after="0"/>
              <w:rPr>
                <w:sz w:val="14"/>
                <w:szCs w:val="14"/>
                <w:color w:val="auto"/>
              </w:rPr>
            </w:pPr>
          </w:p>
        </w:tc>
        <w:tc>
          <w:tcPr>
            <w:tcW w:w="1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94"/>
        </w:trPr>
        <w:tc>
          <w:tcPr>
            <w:tcW w:w="444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Borders>
              <w:bottom w:val="single" w:sz="8" w:color="FF5715"/>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Borders>
              <w:bottom w:val="single" w:sz="8" w:color="FF5715"/>
            </w:tcBorders>
            <w:gridSpan w:val="2"/>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DBDBDB"/>
            </w:tcBorders>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A. Timm</w:t>
            </w:r>
          </w:p>
        </w:tc>
        <w:tc>
          <w:tcPr>
            <w:tcW w:w="1420" w:type="dxa"/>
            <w:vAlign w:val="bottom"/>
            <w:tcBorders>
              <w:bottom w:val="single" w:sz="8" w:color="B6B6B6"/>
            </w:tcBorders>
            <w:shd w:val="clear" w:color="auto" w:fill="DBDBDB"/>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24,174 </w:t>
            </w:r>
            <w:r>
              <w:rPr>
                <w:rFonts w:ascii="Times New Roman" w:cs="Times New Roman" w:eastAsia="Times New Roman" w:hAnsi="Times New Roman"/>
                <w:sz w:val="9"/>
                <w:szCs w:val="9"/>
                <w:color w:val="auto"/>
              </w:rPr>
              <w:t>(1)</w:t>
            </w:r>
          </w:p>
        </w:tc>
        <w:tc>
          <w:tcPr>
            <w:tcW w:w="560" w:type="dxa"/>
            <w:vAlign w:val="bottom"/>
            <w:tcBorders>
              <w:bottom w:val="single" w:sz="8" w:color="B6B6B6"/>
            </w:tcBorders>
            <w:shd w:val="clear" w:color="auto" w:fill="DBDBDB"/>
          </w:tcPr>
          <w:p>
            <w:pPr>
              <w:spacing w:after="0"/>
              <w:rPr>
                <w:sz w:val="17"/>
                <w:szCs w:val="17"/>
                <w:color w:val="auto"/>
              </w:rPr>
            </w:pPr>
          </w:p>
        </w:tc>
        <w:tc>
          <w:tcPr>
            <w:tcW w:w="1980" w:type="dxa"/>
            <w:vAlign w:val="bottom"/>
            <w:tcBorders>
              <w:bottom w:val="single" w:sz="8" w:color="B6B6B6"/>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2,630,754</w:t>
            </w:r>
          </w:p>
        </w:tc>
        <w:tc>
          <w:tcPr>
            <w:tcW w:w="0" w:type="dxa"/>
            <w:vAlign w:val="bottom"/>
          </w:tcPr>
          <w:p>
            <w:pPr>
              <w:spacing w:after="0"/>
              <w:rPr>
                <w:sz w:val="1"/>
                <w:szCs w:val="1"/>
                <w:color w:val="auto"/>
              </w:rPr>
            </w:pPr>
          </w:p>
        </w:tc>
      </w:tr>
      <w:tr>
        <w:trPr>
          <w:trHeight w:val="85"/>
        </w:trPr>
        <w:tc>
          <w:tcPr>
            <w:tcW w:w="4440" w:type="dxa"/>
            <w:vAlign w:val="bottom"/>
            <w:vMerge w:val="continue"/>
            <w:shd w:val="clear" w:color="auto" w:fill="DBDBDB"/>
          </w:tcPr>
          <w:p>
            <w:pPr>
              <w:spacing w:after="0"/>
              <w:rPr>
                <w:sz w:val="7"/>
                <w:szCs w:val="7"/>
                <w:color w:val="auto"/>
              </w:rPr>
            </w:pPr>
          </w:p>
        </w:tc>
        <w:tc>
          <w:tcPr>
            <w:tcW w:w="1420" w:type="dxa"/>
            <w:vAlign w:val="bottom"/>
            <w:vMerge w:val="restart"/>
            <w:shd w:val="clear" w:color="auto" w:fill="DBDBDB"/>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70,324 </w:t>
            </w:r>
            <w:r>
              <w:rPr>
                <w:rFonts w:ascii="Times New Roman" w:cs="Times New Roman" w:eastAsia="Times New Roman" w:hAnsi="Times New Roman"/>
                <w:sz w:val="9"/>
                <w:szCs w:val="9"/>
                <w:color w:val="auto"/>
              </w:rPr>
              <w:t>(2)</w:t>
            </w:r>
          </w:p>
        </w:tc>
        <w:tc>
          <w:tcPr>
            <w:tcW w:w="560" w:type="dxa"/>
            <w:vAlign w:val="bottom"/>
            <w:shd w:val="clear" w:color="auto" w:fill="DBDBDB"/>
          </w:tcPr>
          <w:p>
            <w:pPr>
              <w:spacing w:after="0"/>
              <w:rPr>
                <w:sz w:val="7"/>
                <w:szCs w:val="7"/>
                <w:color w:val="auto"/>
              </w:rPr>
            </w:pPr>
          </w:p>
        </w:tc>
        <w:tc>
          <w:tcPr>
            <w:tcW w:w="19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9,005,049</w:t>
            </w:r>
          </w:p>
        </w:tc>
        <w:tc>
          <w:tcPr>
            <w:tcW w:w="0" w:type="dxa"/>
            <w:vAlign w:val="bottom"/>
          </w:tcPr>
          <w:p>
            <w:pPr>
              <w:spacing w:after="0"/>
              <w:rPr>
                <w:sz w:val="1"/>
                <w:szCs w:val="1"/>
                <w:color w:val="auto"/>
              </w:rPr>
            </w:pPr>
          </w:p>
        </w:tc>
      </w:tr>
      <w:tr>
        <w:trPr>
          <w:trHeight w:val="118"/>
        </w:trPr>
        <w:tc>
          <w:tcPr>
            <w:tcW w:w="4440" w:type="dxa"/>
            <w:vAlign w:val="bottom"/>
            <w:shd w:val="clear" w:color="auto" w:fill="DBDBDB"/>
          </w:tcPr>
          <w:p>
            <w:pPr>
              <w:spacing w:after="0"/>
              <w:rPr>
                <w:sz w:val="10"/>
                <w:szCs w:val="10"/>
                <w:color w:val="auto"/>
              </w:rPr>
            </w:pPr>
          </w:p>
        </w:tc>
        <w:tc>
          <w:tcPr>
            <w:tcW w:w="1420" w:type="dxa"/>
            <w:vAlign w:val="bottom"/>
            <w:vMerge w:val="continue"/>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98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 Binkley</w:t>
            </w:r>
          </w:p>
        </w:tc>
        <w:tc>
          <w:tcPr>
            <w:tcW w:w="14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21,299 </w:t>
            </w:r>
            <w:r>
              <w:rPr>
                <w:rFonts w:ascii="Times New Roman" w:cs="Times New Roman" w:eastAsia="Times New Roman" w:hAnsi="Times New Roman"/>
                <w:sz w:val="9"/>
                <w:szCs w:val="9"/>
                <w:color w:val="auto"/>
              </w:rPr>
              <w:t>(2)</w:t>
            </w:r>
          </w:p>
        </w:tc>
        <w:tc>
          <w:tcPr>
            <w:tcW w:w="254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color w:val="auto"/>
              </w:rPr>
              <w:t>2,737,013</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M. Bonakdarpour</w:t>
            </w:r>
          </w:p>
        </w:tc>
        <w:tc>
          <w:tcPr>
            <w:tcW w:w="1420" w:type="dxa"/>
            <w:vAlign w:val="bottom"/>
            <w:tcBorders>
              <w:bottom w:val="single" w:sz="8" w:color="DBDBDB"/>
            </w:tcBorders>
            <w:shd w:val="clear" w:color="auto" w:fill="DBDBDB"/>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60,313 </w:t>
            </w:r>
            <w:r>
              <w:rPr>
                <w:rFonts w:ascii="Times New Roman" w:cs="Times New Roman" w:eastAsia="Times New Roman" w:hAnsi="Times New Roman"/>
                <w:sz w:val="9"/>
                <w:szCs w:val="9"/>
                <w:color w:val="auto"/>
              </w:rPr>
              <w:t>(2)</w:t>
            </w:r>
          </w:p>
        </w:tc>
        <w:tc>
          <w:tcPr>
            <w:tcW w:w="2540" w:type="dxa"/>
            <w:vAlign w:val="bottom"/>
            <w:tcBorders>
              <w:bottom w:val="single" w:sz="8" w:color="DBDBDB"/>
            </w:tcBorders>
            <w:gridSpan w:val="2"/>
            <w:shd w:val="clear" w:color="auto" w:fill="DBDBDB"/>
          </w:tcPr>
          <w:p>
            <w:pPr>
              <w:jc w:val="center"/>
              <w:ind w:left="528"/>
              <w:spacing w:after="0"/>
              <w:rPr>
                <w:sz w:val="20"/>
                <w:szCs w:val="20"/>
                <w:color w:val="auto"/>
              </w:rPr>
            </w:pPr>
            <w:r>
              <w:rPr>
                <w:rFonts w:ascii="Times New Roman" w:cs="Times New Roman" w:eastAsia="Times New Roman" w:hAnsi="Times New Roman"/>
                <w:sz w:val="14"/>
                <w:szCs w:val="14"/>
                <w:color w:val="auto"/>
              </w:rPr>
              <w:t>7,372,327</w:t>
            </w:r>
          </w:p>
        </w:tc>
        <w:tc>
          <w:tcPr>
            <w:tcW w:w="0" w:type="dxa"/>
            <w:vAlign w:val="bottom"/>
          </w:tcPr>
          <w:p>
            <w:pPr>
              <w:spacing w:after="0"/>
              <w:rPr>
                <w:sz w:val="1"/>
                <w:szCs w:val="1"/>
                <w:color w:val="auto"/>
              </w:rPr>
            </w:pPr>
          </w:p>
        </w:tc>
      </w:tr>
      <w:tr>
        <w:trPr>
          <w:trHeight w:val="193"/>
        </w:trPr>
        <w:tc>
          <w:tcPr>
            <w:tcW w:w="4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 Allison</w:t>
            </w:r>
          </w:p>
        </w:tc>
        <w:tc>
          <w:tcPr>
            <w:tcW w:w="14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 xml:space="preserve">22,399 </w:t>
            </w:r>
            <w:r>
              <w:rPr>
                <w:rFonts w:ascii="Times New Roman" w:cs="Times New Roman" w:eastAsia="Times New Roman" w:hAnsi="Times New Roman"/>
                <w:sz w:val="9"/>
                <w:szCs w:val="9"/>
                <w:color w:val="auto"/>
              </w:rPr>
              <w:t>(2)</w:t>
            </w:r>
          </w:p>
        </w:tc>
        <w:tc>
          <w:tcPr>
            <w:tcW w:w="254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color w:val="auto"/>
              </w:rPr>
              <w:t>2,863,427</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620" w:right="439" w:hanging="328"/>
        <w:spacing w:after="0" w:line="255" w:lineRule="auto"/>
        <w:tabs>
          <w:tab w:leader="none" w:pos="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number of shares of restricted stock (acquired upon early exercise of stock options) that vested during the year. Stock options granted to our named executive officers under the 2015 Equity Incentive Plan permitted early exercise and, if such stock options were exercised, the shares of our common stock acquired upon the exercise of such stock options were restricted. Vesting occurs with respect to such restricted stock on the same vesting schedule as the original stock option award.</w:t>
      </w:r>
    </w:p>
    <w:p>
      <w:pPr>
        <w:spacing w:after="0" w:line="112" w:lineRule="exact"/>
        <w:rPr>
          <w:rFonts w:ascii="Times New Roman" w:cs="Times New Roman" w:eastAsia="Times New Roman" w:hAnsi="Times New Roman"/>
          <w:sz w:val="14"/>
          <w:szCs w:val="14"/>
          <w:color w:val="auto"/>
        </w:rPr>
      </w:pPr>
    </w:p>
    <w:p>
      <w:pPr>
        <w:ind w:left="620" w:right="639" w:hanging="328"/>
        <w:spacing w:after="0" w:line="261" w:lineRule="auto"/>
        <w:tabs>
          <w:tab w:leader="none" w:pos="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gross number of shares received upon the vesting of RSUs. Based on the tax withholding payment elections, the following number of shares were withheld to cover taxes: Mr. Timm, 32,205; Ms. Binkley, 9,651; Mr. Bonakdarpour, 26,798; and Mr. Allison, 10,202.</w:t>
      </w:r>
    </w:p>
    <w:p>
      <w:pPr>
        <w:spacing w:after="0" w:line="95" w:lineRule="exact"/>
        <w:rPr>
          <w:rFonts w:ascii="Times New Roman" w:cs="Times New Roman" w:eastAsia="Times New Roman" w:hAnsi="Times New Roman"/>
          <w:sz w:val="14"/>
          <w:szCs w:val="14"/>
          <w:color w:val="auto"/>
        </w:rPr>
      </w:pPr>
    </w:p>
    <w:p>
      <w:pPr>
        <w:ind w:left="620" w:right="419" w:hanging="328"/>
        <w:spacing w:after="0" w:line="282" w:lineRule="auto"/>
        <w:tabs>
          <w:tab w:leader="none" w:pos="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fair market value per share of the underlying shares of Class A common stock as of the vesting date, multiplied by the number of shares vested.</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019"/>
          </w:cols>
          <w:pgMar w:left="1440" w:top="1215" w:right="1440" w:bottom="1440" w:gutter="0" w:footer="0" w:header="0"/>
          <w:type w:val="continuous"/>
        </w:sectPr>
      </w:pPr>
    </w:p>
    <w:bookmarkStart w:id="52" w:name="page53"/>
    <w:bookmarkEnd w:id="52"/>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Potential Payments and Benefits Upon Termination or Change in Control</w:t>
      </w:r>
    </w:p>
    <w:p>
      <w:pPr>
        <w:spacing w:after="0" w:line="233" w:lineRule="exact"/>
        <w:rPr>
          <w:sz w:val="20"/>
          <w:szCs w:val="20"/>
          <w:color w:val="auto"/>
        </w:rPr>
      </w:pPr>
    </w:p>
    <w:p>
      <w:pPr>
        <w:ind w:left="300" w:right="319"/>
        <w:spacing w:after="0" w:line="260" w:lineRule="auto"/>
        <w:rPr>
          <w:sz w:val="20"/>
          <w:szCs w:val="20"/>
          <w:color w:val="auto"/>
        </w:rPr>
      </w:pPr>
      <w:r>
        <w:rPr>
          <w:rFonts w:ascii="Times New Roman" w:cs="Times New Roman" w:eastAsia="Times New Roman" w:hAnsi="Times New Roman"/>
          <w:sz w:val="17"/>
          <w:szCs w:val="17"/>
          <w:color w:val="auto"/>
        </w:rPr>
        <w:t>Pursuant to the letter and employment agreements described above that we have entered into with each of our named executive officers, if we had terminated a named executive officer’s employment without “cause” (which does not include termination by reason of death or disability) or if the named executive officer had resigned for “good reason” (as such terms are defined in each applicable named executive officer’s letter agreement or employment agreement), the named executive officer would have been entitled to the following severance payments and benefits:</w:t>
      </w:r>
    </w:p>
    <w:p>
      <w:pPr>
        <w:spacing w:after="0" w:line="116" w:lineRule="exact"/>
        <w:rPr>
          <w:sz w:val="20"/>
          <w:szCs w:val="20"/>
          <w:color w:val="auto"/>
        </w:rPr>
      </w:pPr>
    </w:p>
    <w:p>
      <w:pPr>
        <w:ind w:left="620" w:hanging="32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continuation of the NEO’s then-current base salary;</w:t>
      </w:r>
    </w:p>
    <w:p>
      <w:pPr>
        <w:spacing w:after="0" w:line="211" w:lineRule="exact"/>
        <w:rPr>
          <w:rFonts w:ascii="Times New Roman" w:cs="Times New Roman" w:eastAsia="Times New Roman" w:hAnsi="Times New Roman"/>
          <w:sz w:val="18"/>
          <w:szCs w:val="18"/>
          <w:color w:val="auto"/>
        </w:rPr>
      </w:pPr>
    </w:p>
    <w:p>
      <w:pPr>
        <w:ind w:left="620" w:right="519" w:hanging="328"/>
        <w:spacing w:after="0" w:line="250"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Ms. Binkley and Messrs. Bonakdarpour and Allison, payment equal to the portion of the annual short-term incentive, if any, to be awarded for the period beginning on January 1 of the year the termination occurs through the date of the termination on a pro rata basis;</w:t>
      </w:r>
    </w:p>
    <w:p>
      <w:pPr>
        <w:spacing w:after="0" w:line="176" w:lineRule="exact"/>
        <w:rPr>
          <w:rFonts w:ascii="Times New Roman" w:cs="Times New Roman" w:eastAsia="Times New Roman" w:hAnsi="Times New Roman"/>
          <w:sz w:val="18"/>
          <w:szCs w:val="18"/>
          <w:color w:val="auto"/>
        </w:rPr>
      </w:pPr>
    </w:p>
    <w:p>
      <w:pPr>
        <w:ind w:left="620" w:right="359" w:hanging="328"/>
        <w:spacing w:after="0" w:line="266"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 months of direct payment or reimbursement of COBRA premiums for the NEO and the NEO’s eligible dependents;</w:t>
      </w:r>
    </w:p>
    <w:p>
      <w:pPr>
        <w:spacing w:after="0" w:line="148" w:lineRule="exact"/>
        <w:rPr>
          <w:rFonts w:ascii="Times New Roman" w:cs="Times New Roman" w:eastAsia="Times New Roman" w:hAnsi="Times New Roman"/>
          <w:sz w:val="18"/>
          <w:szCs w:val="18"/>
          <w:color w:val="auto"/>
        </w:rPr>
      </w:pPr>
    </w:p>
    <w:p>
      <w:pPr>
        <w:ind w:left="620" w:right="399" w:hanging="328"/>
        <w:spacing w:after="0" w:line="250"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exercisability of the unvested portion of each of the NEO’s then-outstanding equity awards that otherwise would have vested had the NEO remained employed for 12 months following the date of such termination; and</w:t>
      </w:r>
    </w:p>
    <w:p>
      <w:pPr>
        <w:spacing w:after="0" w:line="176" w:lineRule="exact"/>
        <w:rPr>
          <w:rFonts w:ascii="Times New Roman" w:cs="Times New Roman" w:eastAsia="Times New Roman" w:hAnsi="Times New Roman"/>
          <w:sz w:val="18"/>
          <w:szCs w:val="18"/>
          <w:color w:val="auto"/>
        </w:rPr>
      </w:pPr>
    </w:p>
    <w:p>
      <w:pPr>
        <w:ind w:left="620" w:right="419" w:hanging="328"/>
        <w:spacing w:after="0" w:line="250"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occurs upon or within 12 months following a change in control of the Company (as defined in the 2020 Plan) instead of the accelerated vesting described in clause (iv) above, 100% of unvested equity awards would fully vest and become exercisable.</w:t>
      </w:r>
    </w:p>
    <w:p>
      <w:pPr>
        <w:spacing w:after="0" w:line="177" w:lineRule="exact"/>
        <w:rPr>
          <w:sz w:val="20"/>
          <w:szCs w:val="20"/>
          <w:color w:val="auto"/>
        </w:rPr>
      </w:pPr>
    </w:p>
    <w:p>
      <w:pPr>
        <w:ind w:left="300" w:right="319"/>
        <w:spacing w:after="0" w:line="245" w:lineRule="auto"/>
        <w:rPr>
          <w:sz w:val="20"/>
          <w:szCs w:val="20"/>
          <w:color w:val="auto"/>
        </w:rPr>
      </w:pPr>
      <w:r>
        <w:rPr>
          <w:rFonts w:ascii="Times New Roman" w:cs="Times New Roman" w:eastAsia="Times New Roman" w:hAnsi="Times New Roman"/>
          <w:sz w:val="18"/>
          <w:szCs w:val="18"/>
          <w:color w:val="auto"/>
        </w:rPr>
        <w:t>In the event of a termination of employment by reason of death or disability, Ms. Binkley and Messrs. Bonakdarpour and Allison are eligible for a payment equal to the portion of the annual short-term incentive, if any, to be awarded for the period beginning on January 1 of the year the termination occurs through the date of the termination on a pro rata basis.</w:t>
      </w:r>
    </w:p>
    <w:p>
      <w:pPr>
        <w:spacing w:after="0" w:line="167" w:lineRule="exact"/>
        <w:rPr>
          <w:sz w:val="20"/>
          <w:szCs w:val="20"/>
          <w:color w:val="auto"/>
        </w:rPr>
      </w:pPr>
    </w:p>
    <w:p>
      <w:pPr>
        <w:ind w:left="300" w:right="339"/>
        <w:spacing w:after="0" w:line="238" w:lineRule="auto"/>
        <w:rPr>
          <w:sz w:val="20"/>
          <w:szCs w:val="20"/>
          <w:color w:val="auto"/>
        </w:rPr>
      </w:pPr>
      <w:r>
        <w:rPr>
          <w:rFonts w:ascii="Times New Roman" w:cs="Times New Roman" w:eastAsia="Times New Roman" w:hAnsi="Times New Roman"/>
          <w:sz w:val="18"/>
          <w:szCs w:val="18"/>
          <w:color w:val="auto"/>
        </w:rPr>
        <w:t>In the event of a voluntary resignation, Mr. Timm is eligible to receive, pursuant to his employment agreement, 12 months of his base salary and up to 12 months of direct payment or reimbursement of COBRA premiums for himself and his eligible dependents. Mr. Bonakdarpour is eligible to receive, pursuant to his employment agreement, 12 months of his base salary and payment equal to the portion of the annual short-term incentive, if any, to be awarded for the period beginning on January 1 of the year the termination occurs through the date of the termination on a pro rata basis.</w:t>
      </w:r>
    </w:p>
    <w:p>
      <w:pPr>
        <w:spacing w:after="0" w:line="186"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Each named executive officer’s receipt of the severance payments and benefits described above would have been subject to their timely execution and non-revocation of a release of claims in favor of the Company.</w:t>
      </w:r>
    </w:p>
    <w:p>
      <w:pPr>
        <w:spacing w:after="0" w:line="135"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payments and benefits that would have been payable to the named executive officers assuming a hypothetical termination occurred as of December 31, 2025.</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019"/>
          </w:cols>
          <w:pgMar w:left="1440" w:top="1215" w:right="1440" w:bottom="1440" w:gutter="0" w:footer="0" w:header="0"/>
          <w:type w:val="continuous"/>
        </w:sectPr>
      </w:pPr>
    </w:p>
    <w:bookmarkStart w:id="53" w:name="page54"/>
    <w:bookmarkEnd w:id="53"/>
    <w:tbl>
      <w:tblPr>
        <w:tblLayout w:type="fixed"/>
        <w:tblInd w:w="30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12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2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112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Good Reason</w:t>
            </w:r>
          </w:p>
        </w:tc>
        <w:tc>
          <w:tcPr>
            <w:tcW w:w="112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or Good Reason</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Resignation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Resignation</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0" w:type="dxa"/>
            <w:vAlign w:val="bottom"/>
          </w:tcPr>
          <w:p>
            <w:pPr>
              <w:spacing w:after="0"/>
              <w:rPr>
                <w:sz w:val="1"/>
                <w:szCs w:val="1"/>
                <w:color w:val="auto"/>
              </w:rPr>
            </w:pPr>
          </w:p>
        </w:tc>
      </w:tr>
      <w:tr>
        <w:trPr>
          <w:trHeight w:val="148"/>
        </w:trPr>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Benefits and Payments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Resignation</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Cause</w:t>
            </w:r>
          </w:p>
        </w:tc>
        <w:tc>
          <w:tcPr>
            <w:tcW w:w="12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98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80"/>
        </w:trPr>
        <w:tc>
          <w:tcPr>
            <w:tcW w:w="1260" w:type="dxa"/>
            <w:vAlign w:val="bottom"/>
            <w:tcBorders>
              <w:bottom w:val="single" w:sz="8" w:color="FF5715"/>
            </w:tcBorders>
            <w:vMerge w:val="continue"/>
          </w:tcPr>
          <w:p>
            <w:pPr>
              <w:spacing w:after="0"/>
              <w:rPr>
                <w:sz w:val="15"/>
                <w:szCs w:val="15"/>
                <w:color w:val="auto"/>
              </w:rPr>
            </w:pPr>
          </w:p>
        </w:tc>
        <w:tc>
          <w:tcPr>
            <w:tcW w:w="1560" w:type="dxa"/>
            <w:vAlign w:val="bottom"/>
            <w:tcBorders>
              <w:bottom w:val="single" w:sz="8" w:color="FF5715"/>
            </w:tcBorders>
            <w:vMerge w:val="continue"/>
          </w:tcPr>
          <w:p>
            <w:pPr>
              <w:spacing w:after="0"/>
              <w:rPr>
                <w:sz w:val="15"/>
                <w:szCs w:val="15"/>
                <w:color w:val="auto"/>
              </w:rPr>
            </w:pPr>
          </w:p>
        </w:tc>
        <w:tc>
          <w:tcPr>
            <w:tcW w:w="10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Borders>
              <w:bottom w:val="single" w:sz="8" w:color="FF5715"/>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Borders>
              <w:bottom w:val="single" w:sz="8" w:color="FF5715"/>
            </w:tcBorders>
          </w:tcPr>
          <w:p>
            <w:pPr>
              <w:jc w:val="center"/>
              <w:ind w:right="1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0" w:type="dxa"/>
            <w:vAlign w:val="bottom"/>
          </w:tcPr>
          <w:p>
            <w:pPr>
              <w:spacing w:after="0"/>
              <w:rPr>
                <w:sz w:val="1"/>
                <w:szCs w:val="1"/>
                <w:color w:val="auto"/>
              </w:rPr>
            </w:pPr>
          </w:p>
        </w:tc>
      </w:tr>
      <w:tr>
        <w:trPr>
          <w:trHeight w:val="248"/>
        </w:trPr>
        <w:tc>
          <w:tcPr>
            <w:tcW w:w="126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Cash Severance</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120" w:type="dxa"/>
            <w:vAlign w:val="bottom"/>
            <w:tcBorders>
              <w:bottom w:val="single" w:sz="8" w:color="DBDBDB"/>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750,000</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260" w:type="dxa"/>
            <w:vAlign w:val="bottom"/>
            <w:tcBorders>
              <w:top w:val="single" w:sz="8" w:color="DBDBDB"/>
              <w:bottom w:val="single" w:sz="8" w:color="DBDBDB"/>
            </w:tcBorders>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A. Timm</w:t>
            </w:r>
          </w:p>
        </w:tc>
        <w:tc>
          <w:tcPr>
            <w:tcW w:w="1560" w:type="dxa"/>
            <w:vAlign w:val="bottom"/>
            <w:tcBorders>
              <w:top w:val="single" w:sz="8" w:color="B6B6B6"/>
              <w:bottom w:val="single" w:sz="8" w:color="B6B6B6"/>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Short-Term Incentive</w:t>
            </w:r>
          </w:p>
        </w:tc>
        <w:tc>
          <w:tcPr>
            <w:tcW w:w="1080" w:type="dxa"/>
            <w:vAlign w:val="bottom"/>
            <w:tcBorders>
              <w:top w:val="single" w:sz="8" w:color="B6B6B6"/>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B6B6B6"/>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B6B6B6"/>
              <w:bottom w:val="single" w:sz="8" w:color="B6B6B6"/>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B6B6B6"/>
              <w:bottom w:val="single" w:sz="8" w:color="B6B6B6"/>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B6B6B6"/>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6"/>
        </w:trPr>
        <w:tc>
          <w:tcPr>
            <w:tcW w:w="1260" w:type="dxa"/>
            <w:vAlign w:val="bottom"/>
            <w:vMerge w:val="continue"/>
            <w:shd w:val="clear" w:color="auto" w:fill="DBDBDB"/>
          </w:tcPr>
          <w:p>
            <w:pPr>
              <w:spacing w:after="0"/>
              <w:rPr>
                <w:sz w:val="4"/>
                <w:szCs w:val="4"/>
                <w:color w:val="auto"/>
              </w:rPr>
            </w:pPr>
          </w:p>
        </w:tc>
        <w:tc>
          <w:tcPr>
            <w:tcW w:w="156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Health Benefit Payments</w:t>
            </w:r>
          </w:p>
        </w:tc>
        <w:tc>
          <w:tcPr>
            <w:tcW w:w="10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27,440</w:t>
            </w:r>
          </w:p>
        </w:tc>
        <w:tc>
          <w:tcPr>
            <w:tcW w:w="1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27,440</w:t>
            </w:r>
          </w:p>
        </w:tc>
        <w:tc>
          <w:tcPr>
            <w:tcW w:w="1120" w:type="dxa"/>
            <w:vAlign w:val="bottom"/>
            <w:vMerge w:val="restart"/>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27,440</w:t>
            </w:r>
          </w:p>
        </w:tc>
        <w:tc>
          <w:tcPr>
            <w:tcW w:w="9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1260" w:type="dxa"/>
            <w:vAlign w:val="bottom"/>
            <w:tcBorders>
              <w:bottom w:val="single" w:sz="8" w:color="DBDBDB"/>
            </w:tcBorders>
            <w:shd w:val="clear" w:color="auto" w:fill="DBDBDB"/>
          </w:tcPr>
          <w:p>
            <w:pPr>
              <w:spacing w:after="0"/>
              <w:rPr>
                <w:sz w:val="12"/>
                <w:szCs w:val="12"/>
                <w:color w:val="auto"/>
              </w:rPr>
            </w:pPr>
          </w:p>
        </w:tc>
        <w:tc>
          <w:tcPr>
            <w:tcW w:w="1560" w:type="dxa"/>
            <w:vAlign w:val="bottom"/>
            <w:tcBorders>
              <w:bottom w:val="single" w:sz="8" w:color="B6B6B6"/>
            </w:tcBorders>
            <w:vMerge w:val="continue"/>
            <w:shd w:val="clear" w:color="auto" w:fill="DBDBDB"/>
          </w:tcPr>
          <w:p>
            <w:pPr>
              <w:spacing w:after="0"/>
              <w:rPr>
                <w:sz w:val="12"/>
                <w:szCs w:val="12"/>
                <w:color w:val="auto"/>
              </w:rPr>
            </w:pPr>
          </w:p>
        </w:tc>
        <w:tc>
          <w:tcPr>
            <w:tcW w:w="1080" w:type="dxa"/>
            <w:vAlign w:val="bottom"/>
            <w:tcBorders>
              <w:bottom w:val="single" w:sz="8" w:color="B6B6B6"/>
            </w:tcBorders>
            <w:vMerge w:val="continue"/>
            <w:shd w:val="clear" w:color="auto" w:fill="DBDBDB"/>
          </w:tcPr>
          <w:p>
            <w:pPr>
              <w:spacing w:after="0"/>
              <w:rPr>
                <w:sz w:val="12"/>
                <w:szCs w:val="12"/>
                <w:color w:val="auto"/>
              </w:rPr>
            </w:pPr>
          </w:p>
        </w:tc>
        <w:tc>
          <w:tcPr>
            <w:tcW w:w="1160" w:type="dxa"/>
            <w:vAlign w:val="bottom"/>
            <w:tcBorders>
              <w:bottom w:val="single" w:sz="8" w:color="B6B6B6"/>
            </w:tcBorders>
            <w:vMerge w:val="continue"/>
            <w:shd w:val="clear" w:color="auto" w:fill="DBDBDB"/>
          </w:tcPr>
          <w:p>
            <w:pPr>
              <w:spacing w:after="0"/>
              <w:rPr>
                <w:sz w:val="12"/>
                <w:szCs w:val="12"/>
                <w:color w:val="auto"/>
              </w:rPr>
            </w:pPr>
          </w:p>
        </w:tc>
        <w:tc>
          <w:tcPr>
            <w:tcW w:w="1120" w:type="dxa"/>
            <w:vAlign w:val="bottom"/>
            <w:tcBorders>
              <w:bottom w:val="single" w:sz="8" w:color="B6B6B6"/>
            </w:tcBorders>
            <w:vMerge w:val="continue"/>
            <w:shd w:val="clear" w:color="auto" w:fill="DBDBDB"/>
          </w:tcPr>
          <w:p>
            <w:pPr>
              <w:spacing w:after="0"/>
              <w:rPr>
                <w:sz w:val="12"/>
                <w:szCs w:val="12"/>
                <w:color w:val="auto"/>
              </w:rPr>
            </w:pPr>
          </w:p>
        </w:tc>
        <w:tc>
          <w:tcPr>
            <w:tcW w:w="1240" w:type="dxa"/>
            <w:vAlign w:val="bottom"/>
            <w:tcBorders>
              <w:bottom w:val="single" w:sz="8" w:color="B6B6B6"/>
            </w:tcBorders>
            <w:vMerge w:val="continue"/>
            <w:shd w:val="clear" w:color="auto" w:fill="DBDBDB"/>
          </w:tcPr>
          <w:p>
            <w:pPr>
              <w:spacing w:after="0"/>
              <w:rPr>
                <w:sz w:val="12"/>
                <w:szCs w:val="12"/>
                <w:color w:val="auto"/>
              </w:rPr>
            </w:pPr>
          </w:p>
        </w:tc>
        <w:tc>
          <w:tcPr>
            <w:tcW w:w="980" w:type="dxa"/>
            <w:vAlign w:val="bottom"/>
            <w:tcBorders>
              <w:bottom w:val="single" w:sz="8" w:color="B6B6B6"/>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60" w:type="dxa"/>
            <w:vAlign w:val="bottom"/>
            <w:shd w:val="clear" w:color="auto" w:fill="DBDBDB"/>
          </w:tcPr>
          <w:p>
            <w:pPr>
              <w:spacing w:after="0"/>
              <w:rPr>
                <w:sz w:val="17"/>
                <w:szCs w:val="17"/>
                <w:color w:val="auto"/>
              </w:rPr>
            </w:pPr>
          </w:p>
        </w:tc>
        <w:tc>
          <w:tcPr>
            <w:tcW w:w="1560" w:type="dxa"/>
            <w:vAlign w:val="bottom"/>
            <w:shd w:val="clear" w:color="auto" w:fill="DBDBDB"/>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Equity Vesting </w:t>
            </w:r>
            <w:r>
              <w:rPr>
                <w:rFonts w:ascii="Times New Roman" w:cs="Times New Roman" w:eastAsia="Times New Roman" w:hAnsi="Times New Roman"/>
                <w:sz w:val="18"/>
                <w:szCs w:val="18"/>
                <w:color w:val="auto"/>
                <w:vertAlign w:val="superscript"/>
              </w:rPr>
              <w:t>(2)</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11,042,233</w:t>
            </w:r>
          </w:p>
        </w:tc>
        <w:tc>
          <w:tcPr>
            <w:tcW w:w="112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29,059,357</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29,059,357</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1560" w:type="dxa"/>
            <w:vAlign w:val="bottom"/>
            <w:tcBorders>
              <w:bottom w:val="single" w:sz="8" w:color="B6B6B6"/>
            </w:tcBorders>
          </w:tcPr>
          <w:p>
            <w:pPr>
              <w:ind w:left="60"/>
              <w:spacing w:after="0"/>
              <w:rPr>
                <w:sz w:val="20"/>
                <w:szCs w:val="20"/>
                <w:color w:val="auto"/>
              </w:rPr>
            </w:pPr>
            <w:r>
              <w:rPr>
                <w:rFonts w:ascii="Times New Roman" w:cs="Times New Roman" w:eastAsia="Times New Roman" w:hAnsi="Times New Roman"/>
                <w:sz w:val="14"/>
                <w:szCs w:val="14"/>
                <w:color w:val="auto"/>
              </w:rPr>
              <w:t>Cash Severance</w:t>
            </w:r>
          </w:p>
        </w:tc>
        <w:tc>
          <w:tcPr>
            <w:tcW w:w="10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120" w:type="dxa"/>
            <w:vAlign w:val="bottom"/>
            <w:tcBorders>
              <w:bottom w:val="single" w:sz="8" w:color="B6B6B6"/>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tcPr>
          <w:p>
            <w:pPr>
              <w:jc w:val="right"/>
              <w:ind w:right="68"/>
              <w:spacing w:after="0"/>
              <w:rPr>
                <w:sz w:val="20"/>
                <w:szCs w:val="20"/>
                <w:color w:val="auto"/>
              </w:rPr>
            </w:pPr>
            <w:r>
              <w:rPr>
                <w:rFonts w:ascii="Times New Roman" w:cs="Times New Roman" w:eastAsia="Times New Roman" w:hAnsi="Times New Roman"/>
                <w:sz w:val="14"/>
                <w:szCs w:val="14"/>
                <w:color w:val="auto"/>
              </w:rPr>
              <w:t>500,000</w:t>
            </w:r>
          </w:p>
        </w:tc>
        <w:tc>
          <w:tcPr>
            <w:tcW w:w="9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 Binkley</w:t>
            </w:r>
          </w:p>
        </w:tc>
        <w:tc>
          <w:tcPr>
            <w:tcW w:w="1560" w:type="dxa"/>
            <w:vAlign w:val="bottom"/>
            <w:tcBorders>
              <w:bottom w:val="single" w:sz="8" w:color="B6B6B6"/>
            </w:tcBorders>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Short-Term Incentive </w:t>
            </w:r>
            <w:r>
              <w:rPr>
                <w:rFonts w:ascii="Times New Roman" w:cs="Times New Roman" w:eastAsia="Times New Roman" w:hAnsi="Times New Roman"/>
                <w:sz w:val="18"/>
                <w:szCs w:val="18"/>
                <w:color w:val="auto"/>
                <w:vertAlign w:val="superscript"/>
              </w:rPr>
              <w:t>(3)</w:t>
            </w:r>
          </w:p>
        </w:tc>
        <w:tc>
          <w:tcPr>
            <w:tcW w:w="10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120" w:type="dxa"/>
            <w:vAlign w:val="bottom"/>
            <w:tcBorders>
              <w:bottom w:val="single" w:sz="8" w:color="B6B6B6"/>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tcPr>
          <w:p>
            <w:pPr>
              <w:jc w:val="right"/>
              <w:ind w:right="68"/>
              <w:spacing w:after="0"/>
              <w:rPr>
                <w:sz w:val="20"/>
                <w:szCs w:val="20"/>
                <w:color w:val="auto"/>
              </w:rPr>
            </w:pPr>
            <w:r>
              <w:rPr>
                <w:rFonts w:ascii="Times New Roman" w:cs="Times New Roman" w:eastAsia="Times New Roman" w:hAnsi="Times New Roman"/>
                <w:sz w:val="14"/>
                <w:szCs w:val="14"/>
                <w:color w:val="auto"/>
              </w:rPr>
              <w:t>375,000</w:t>
            </w:r>
          </w:p>
        </w:tc>
        <w:tc>
          <w:tcPr>
            <w:tcW w:w="9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0" w:type="dxa"/>
            <w:vAlign w:val="bottom"/>
          </w:tcPr>
          <w:p>
            <w:pPr>
              <w:spacing w:after="0"/>
              <w:rPr>
                <w:sz w:val="1"/>
                <w:szCs w:val="1"/>
                <w:color w:val="auto"/>
              </w:rPr>
            </w:pPr>
          </w:p>
        </w:tc>
      </w:tr>
      <w:tr>
        <w:trPr>
          <w:trHeight w:val="78"/>
        </w:trPr>
        <w:tc>
          <w:tcPr>
            <w:tcW w:w="1260" w:type="dxa"/>
            <w:vAlign w:val="bottom"/>
            <w:vMerge w:val="continue"/>
          </w:tcPr>
          <w:p>
            <w:pPr>
              <w:spacing w:after="0"/>
              <w:rPr>
                <w:sz w:val="6"/>
                <w:szCs w:val="6"/>
                <w:color w:val="auto"/>
              </w:rPr>
            </w:pP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Health Benefit Payments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10,561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9"/>
                <w:szCs w:val="9"/>
                <w:color w:val="auto"/>
              </w:rPr>
            </w:pPr>
          </w:p>
        </w:tc>
        <w:tc>
          <w:tcPr>
            <w:tcW w:w="1560" w:type="dxa"/>
            <w:vAlign w:val="bottom"/>
            <w:tcBorders>
              <w:bottom w:val="single" w:sz="8" w:color="B6B6B6"/>
            </w:tcBorders>
            <w:vMerge w:val="continue"/>
          </w:tcPr>
          <w:p>
            <w:pPr>
              <w:spacing w:after="0"/>
              <w:rPr>
                <w:sz w:val="9"/>
                <w:szCs w:val="9"/>
                <w:color w:val="auto"/>
              </w:rPr>
            </w:pPr>
          </w:p>
        </w:tc>
        <w:tc>
          <w:tcPr>
            <w:tcW w:w="1080" w:type="dxa"/>
            <w:vAlign w:val="bottom"/>
            <w:tcBorders>
              <w:bottom w:val="single" w:sz="8" w:color="B6B6B6"/>
            </w:tcBorders>
            <w:vMerge w:val="continue"/>
          </w:tcPr>
          <w:p>
            <w:pPr>
              <w:spacing w:after="0"/>
              <w:rPr>
                <w:sz w:val="9"/>
                <w:szCs w:val="9"/>
                <w:color w:val="auto"/>
              </w:rPr>
            </w:pPr>
          </w:p>
        </w:tc>
        <w:tc>
          <w:tcPr>
            <w:tcW w:w="1160" w:type="dxa"/>
            <w:vAlign w:val="bottom"/>
            <w:tcBorders>
              <w:bottom w:val="single" w:sz="8" w:color="B6B6B6"/>
            </w:tcBorders>
            <w:vMerge w:val="continue"/>
          </w:tcPr>
          <w:p>
            <w:pPr>
              <w:spacing w:after="0"/>
              <w:rPr>
                <w:sz w:val="9"/>
                <w:szCs w:val="9"/>
                <w:color w:val="auto"/>
              </w:rPr>
            </w:pPr>
          </w:p>
        </w:tc>
        <w:tc>
          <w:tcPr>
            <w:tcW w:w="1120" w:type="dxa"/>
            <w:vAlign w:val="bottom"/>
            <w:tcBorders>
              <w:bottom w:val="single" w:sz="8" w:color="B6B6B6"/>
            </w:tcBorders>
            <w:vMerge w:val="continue"/>
          </w:tcPr>
          <w:p>
            <w:pPr>
              <w:spacing w:after="0"/>
              <w:rPr>
                <w:sz w:val="9"/>
                <w:szCs w:val="9"/>
                <w:color w:val="auto"/>
              </w:rPr>
            </w:pPr>
          </w:p>
        </w:tc>
        <w:tc>
          <w:tcPr>
            <w:tcW w:w="1240" w:type="dxa"/>
            <w:vAlign w:val="bottom"/>
            <w:tcBorders>
              <w:bottom w:val="single" w:sz="8" w:color="B6B6B6"/>
            </w:tcBorders>
            <w:vMerge w:val="continue"/>
          </w:tcPr>
          <w:p>
            <w:pPr>
              <w:spacing w:after="0"/>
              <w:rPr>
                <w:sz w:val="9"/>
                <w:szCs w:val="9"/>
                <w:color w:val="auto"/>
              </w:rPr>
            </w:pPr>
          </w:p>
        </w:tc>
        <w:tc>
          <w:tcPr>
            <w:tcW w:w="980" w:type="dxa"/>
            <w:vAlign w:val="bottom"/>
            <w:tcBorders>
              <w:bottom w:val="single" w:sz="8" w:color="B6B6B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260" w:type="dxa"/>
            <w:vAlign w:val="bottom"/>
          </w:tcPr>
          <w:p>
            <w:pPr>
              <w:spacing w:after="0"/>
              <w:rPr>
                <w:sz w:val="17"/>
                <w:szCs w:val="17"/>
                <w:color w:val="auto"/>
              </w:rPr>
            </w:pPr>
          </w:p>
        </w:tc>
        <w:tc>
          <w:tcPr>
            <w:tcW w:w="1560" w:type="dxa"/>
            <w:vAlign w:val="bottom"/>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Equity Vesting </w:t>
            </w:r>
            <w:r>
              <w:rPr>
                <w:rFonts w:ascii="Times New Roman" w:cs="Times New Roman" w:eastAsia="Times New Roman" w:hAnsi="Times New Roman"/>
                <w:sz w:val="18"/>
                <w:szCs w:val="18"/>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2,999,712</w:t>
            </w:r>
          </w:p>
        </w:tc>
        <w:tc>
          <w:tcPr>
            <w:tcW w:w="1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9,107,914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9,107,914</w:t>
            </w:r>
          </w:p>
        </w:tc>
        <w:tc>
          <w:tcPr>
            <w:tcW w:w="0" w:type="dxa"/>
            <w:vAlign w:val="bottom"/>
          </w:tcPr>
          <w:p>
            <w:pPr>
              <w:spacing w:after="0"/>
              <w:rPr>
                <w:sz w:val="1"/>
                <w:szCs w:val="1"/>
                <w:color w:val="auto"/>
              </w:rPr>
            </w:pPr>
          </w:p>
        </w:tc>
      </w:tr>
      <w:tr>
        <w:trPr>
          <w:trHeight w:val="211"/>
        </w:trPr>
        <w:tc>
          <w:tcPr>
            <w:tcW w:w="1260" w:type="dxa"/>
            <w:vAlign w:val="bottom"/>
            <w:tcBorders>
              <w:bottom w:val="single" w:sz="8" w:color="DBDBDB"/>
            </w:tcBorders>
            <w:shd w:val="clear" w:color="auto" w:fill="DBDBDB"/>
          </w:tcPr>
          <w:p>
            <w:pPr>
              <w:spacing w:after="0"/>
              <w:rPr>
                <w:sz w:val="18"/>
                <w:szCs w:val="18"/>
                <w:color w:val="auto"/>
              </w:rPr>
            </w:pPr>
          </w:p>
        </w:tc>
        <w:tc>
          <w:tcPr>
            <w:tcW w:w="1560" w:type="dxa"/>
            <w:vAlign w:val="bottom"/>
            <w:tcBorders>
              <w:bottom w:val="single" w:sz="8" w:color="B6B6B6"/>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Cash Severance</w:t>
            </w:r>
          </w:p>
        </w:tc>
        <w:tc>
          <w:tcPr>
            <w:tcW w:w="108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16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120" w:type="dxa"/>
            <w:vAlign w:val="bottom"/>
            <w:tcBorders>
              <w:bottom w:val="single" w:sz="8" w:color="B6B6B6"/>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550,000</w:t>
            </w:r>
          </w:p>
        </w:tc>
        <w:tc>
          <w:tcPr>
            <w:tcW w:w="98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60" w:type="dxa"/>
            <w:vAlign w:val="bottom"/>
            <w:tcBorders>
              <w:bottom w:val="single" w:sz="8" w:color="DBDBDB"/>
            </w:tcBorders>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M. Bonakdarpour</w:t>
            </w:r>
          </w:p>
        </w:tc>
        <w:tc>
          <w:tcPr>
            <w:tcW w:w="1560" w:type="dxa"/>
            <w:vAlign w:val="bottom"/>
            <w:tcBorders>
              <w:bottom w:val="single" w:sz="8" w:color="B6B6B6"/>
            </w:tcBorders>
            <w:shd w:val="clear" w:color="auto" w:fill="DBDBDB"/>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Short-Term Incentive </w:t>
            </w:r>
            <w:r>
              <w:rPr>
                <w:rFonts w:ascii="Times New Roman" w:cs="Times New Roman" w:eastAsia="Times New Roman" w:hAnsi="Times New Roman"/>
                <w:sz w:val="18"/>
                <w:szCs w:val="18"/>
                <w:color w:val="auto"/>
                <w:vertAlign w:val="superscript"/>
              </w:rPr>
              <w:t>(3)</w:t>
            </w:r>
          </w:p>
        </w:tc>
        <w:tc>
          <w:tcPr>
            <w:tcW w:w="108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16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120" w:type="dxa"/>
            <w:vAlign w:val="bottom"/>
            <w:tcBorders>
              <w:bottom w:val="single" w:sz="8" w:color="B6B6B6"/>
            </w:tcBorders>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550,000</w:t>
            </w:r>
          </w:p>
        </w:tc>
        <w:tc>
          <w:tcPr>
            <w:tcW w:w="980" w:type="dxa"/>
            <w:vAlign w:val="bottom"/>
            <w:tcBorders>
              <w:bottom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0" w:type="dxa"/>
            <w:vAlign w:val="bottom"/>
          </w:tcPr>
          <w:p>
            <w:pPr>
              <w:spacing w:after="0"/>
              <w:rPr>
                <w:sz w:val="1"/>
                <w:szCs w:val="1"/>
                <w:color w:val="auto"/>
              </w:rPr>
            </w:pPr>
          </w:p>
        </w:tc>
      </w:tr>
      <w:tr>
        <w:trPr>
          <w:trHeight w:val="78"/>
        </w:trPr>
        <w:tc>
          <w:tcPr>
            <w:tcW w:w="1260" w:type="dxa"/>
            <w:vAlign w:val="bottom"/>
            <w:vMerge w:val="continue"/>
            <w:shd w:val="clear" w:color="auto" w:fill="DBDBDB"/>
          </w:tcPr>
          <w:p>
            <w:pPr>
              <w:spacing w:after="0"/>
              <w:rPr>
                <w:sz w:val="6"/>
                <w:szCs w:val="6"/>
                <w:color w:val="auto"/>
              </w:rPr>
            </w:pPr>
          </w:p>
        </w:tc>
        <w:tc>
          <w:tcPr>
            <w:tcW w:w="156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Health Benefit Payments</w:t>
            </w:r>
          </w:p>
        </w:tc>
        <w:tc>
          <w:tcPr>
            <w:tcW w:w="10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3"/>
        </w:trPr>
        <w:tc>
          <w:tcPr>
            <w:tcW w:w="1260" w:type="dxa"/>
            <w:vAlign w:val="bottom"/>
            <w:tcBorders>
              <w:bottom w:val="single" w:sz="8" w:color="DBDBDB"/>
            </w:tcBorders>
            <w:shd w:val="clear" w:color="auto" w:fill="DBDBDB"/>
          </w:tcPr>
          <w:p>
            <w:pPr>
              <w:spacing w:after="0"/>
              <w:rPr>
                <w:sz w:val="9"/>
                <w:szCs w:val="9"/>
                <w:color w:val="auto"/>
              </w:rPr>
            </w:pPr>
          </w:p>
        </w:tc>
        <w:tc>
          <w:tcPr>
            <w:tcW w:w="1560" w:type="dxa"/>
            <w:vAlign w:val="bottom"/>
            <w:tcBorders>
              <w:bottom w:val="single" w:sz="8" w:color="B6B6B6"/>
            </w:tcBorders>
            <w:vMerge w:val="continue"/>
            <w:shd w:val="clear" w:color="auto" w:fill="DBDBDB"/>
          </w:tcPr>
          <w:p>
            <w:pPr>
              <w:spacing w:after="0"/>
              <w:rPr>
                <w:sz w:val="9"/>
                <w:szCs w:val="9"/>
                <w:color w:val="auto"/>
              </w:rPr>
            </w:pPr>
          </w:p>
        </w:tc>
        <w:tc>
          <w:tcPr>
            <w:tcW w:w="1080" w:type="dxa"/>
            <w:vAlign w:val="bottom"/>
            <w:tcBorders>
              <w:bottom w:val="single" w:sz="8" w:color="B6B6B6"/>
            </w:tcBorders>
            <w:vMerge w:val="continue"/>
            <w:shd w:val="clear" w:color="auto" w:fill="DBDBDB"/>
          </w:tcPr>
          <w:p>
            <w:pPr>
              <w:spacing w:after="0"/>
              <w:rPr>
                <w:sz w:val="9"/>
                <w:szCs w:val="9"/>
                <w:color w:val="auto"/>
              </w:rPr>
            </w:pPr>
          </w:p>
        </w:tc>
        <w:tc>
          <w:tcPr>
            <w:tcW w:w="1160" w:type="dxa"/>
            <w:vAlign w:val="bottom"/>
            <w:tcBorders>
              <w:bottom w:val="single" w:sz="8" w:color="B6B6B6"/>
            </w:tcBorders>
            <w:vMerge w:val="continue"/>
            <w:shd w:val="clear" w:color="auto" w:fill="DBDBDB"/>
          </w:tcPr>
          <w:p>
            <w:pPr>
              <w:spacing w:after="0"/>
              <w:rPr>
                <w:sz w:val="9"/>
                <w:szCs w:val="9"/>
                <w:color w:val="auto"/>
              </w:rPr>
            </w:pPr>
          </w:p>
        </w:tc>
        <w:tc>
          <w:tcPr>
            <w:tcW w:w="1120" w:type="dxa"/>
            <w:vAlign w:val="bottom"/>
            <w:tcBorders>
              <w:bottom w:val="single" w:sz="8" w:color="B6B6B6"/>
            </w:tcBorders>
            <w:vMerge w:val="continue"/>
            <w:shd w:val="clear" w:color="auto" w:fill="DBDBDB"/>
          </w:tcPr>
          <w:p>
            <w:pPr>
              <w:spacing w:after="0"/>
              <w:rPr>
                <w:sz w:val="9"/>
                <w:szCs w:val="9"/>
                <w:color w:val="auto"/>
              </w:rPr>
            </w:pPr>
          </w:p>
        </w:tc>
        <w:tc>
          <w:tcPr>
            <w:tcW w:w="1240" w:type="dxa"/>
            <w:vAlign w:val="bottom"/>
            <w:tcBorders>
              <w:bottom w:val="single" w:sz="8" w:color="B6B6B6"/>
            </w:tcBorders>
            <w:vMerge w:val="continue"/>
            <w:shd w:val="clear" w:color="auto" w:fill="DBDBDB"/>
          </w:tcPr>
          <w:p>
            <w:pPr>
              <w:spacing w:after="0"/>
              <w:rPr>
                <w:sz w:val="9"/>
                <w:szCs w:val="9"/>
                <w:color w:val="auto"/>
              </w:rPr>
            </w:pPr>
          </w:p>
        </w:tc>
        <w:tc>
          <w:tcPr>
            <w:tcW w:w="980" w:type="dxa"/>
            <w:vAlign w:val="bottom"/>
            <w:tcBorders>
              <w:bottom w:val="single" w:sz="8" w:color="B6B6B6"/>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260" w:type="dxa"/>
            <w:vAlign w:val="bottom"/>
            <w:shd w:val="clear" w:color="auto" w:fill="DBDBDB"/>
          </w:tcPr>
          <w:p>
            <w:pPr>
              <w:spacing w:after="0"/>
              <w:rPr>
                <w:sz w:val="17"/>
                <w:szCs w:val="17"/>
                <w:color w:val="auto"/>
              </w:rPr>
            </w:pPr>
          </w:p>
        </w:tc>
        <w:tc>
          <w:tcPr>
            <w:tcW w:w="1560" w:type="dxa"/>
            <w:vAlign w:val="bottom"/>
            <w:shd w:val="clear" w:color="auto" w:fill="DBDBDB"/>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Equity Vesting </w:t>
            </w:r>
            <w:r>
              <w:rPr>
                <w:rFonts w:ascii="Times New Roman" w:cs="Times New Roman" w:eastAsia="Times New Roman" w:hAnsi="Times New Roman"/>
                <w:sz w:val="18"/>
                <w:szCs w:val="18"/>
                <w:color w:val="auto"/>
                <w:vertAlign w:val="superscript"/>
              </w:rPr>
              <w:t>(2)</w:t>
            </w:r>
          </w:p>
        </w:tc>
        <w:tc>
          <w:tcPr>
            <w:tcW w:w="1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7,668,587</w:t>
            </w:r>
          </w:p>
        </w:tc>
        <w:tc>
          <w:tcPr>
            <w:tcW w:w="1120" w:type="dxa"/>
            <w:vAlign w:val="bottom"/>
            <w:shd w:val="clear" w:color="auto" w:fill="DBDBDB"/>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21,338,331</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21,338,331</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1560" w:type="dxa"/>
            <w:vAlign w:val="bottom"/>
            <w:tcBorders>
              <w:bottom w:val="single" w:sz="8" w:color="B6B6B6"/>
            </w:tcBorders>
          </w:tcPr>
          <w:p>
            <w:pPr>
              <w:ind w:left="60"/>
              <w:spacing w:after="0"/>
              <w:rPr>
                <w:sz w:val="20"/>
                <w:szCs w:val="20"/>
                <w:color w:val="auto"/>
              </w:rPr>
            </w:pPr>
            <w:r>
              <w:rPr>
                <w:rFonts w:ascii="Times New Roman" w:cs="Times New Roman" w:eastAsia="Times New Roman" w:hAnsi="Times New Roman"/>
                <w:sz w:val="14"/>
                <w:szCs w:val="14"/>
                <w:color w:val="auto"/>
              </w:rPr>
              <w:t>Cash Severance</w:t>
            </w:r>
          </w:p>
        </w:tc>
        <w:tc>
          <w:tcPr>
            <w:tcW w:w="10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1120" w:type="dxa"/>
            <w:vAlign w:val="bottom"/>
            <w:tcBorders>
              <w:bottom w:val="single" w:sz="8" w:color="B6B6B6"/>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tcPr>
          <w:p>
            <w:pPr>
              <w:jc w:val="right"/>
              <w:ind w:right="68"/>
              <w:spacing w:after="0"/>
              <w:rPr>
                <w:sz w:val="20"/>
                <w:szCs w:val="20"/>
                <w:color w:val="auto"/>
              </w:rPr>
            </w:pPr>
            <w:r>
              <w:rPr>
                <w:rFonts w:ascii="Times New Roman" w:cs="Times New Roman" w:eastAsia="Times New Roman" w:hAnsi="Times New Roman"/>
                <w:sz w:val="14"/>
                <w:szCs w:val="14"/>
                <w:color w:val="auto"/>
              </w:rPr>
              <w:t>520,000</w:t>
            </w:r>
          </w:p>
        </w:tc>
        <w:tc>
          <w:tcPr>
            <w:tcW w:w="9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 Allison</w:t>
            </w:r>
          </w:p>
        </w:tc>
        <w:tc>
          <w:tcPr>
            <w:tcW w:w="1560" w:type="dxa"/>
            <w:vAlign w:val="bottom"/>
            <w:tcBorders>
              <w:bottom w:val="single" w:sz="8" w:color="B6B6B6"/>
            </w:tcBorders>
          </w:tcPr>
          <w:p>
            <w:pPr>
              <w:ind w:left="60"/>
              <w:spacing w:after="0" w:line="201" w:lineRule="exact"/>
              <w:rPr>
                <w:sz w:val="20"/>
                <w:szCs w:val="20"/>
                <w:color w:val="auto"/>
              </w:rPr>
            </w:pPr>
            <w:r>
              <w:rPr>
                <w:rFonts w:ascii="Times New Roman" w:cs="Times New Roman" w:eastAsia="Times New Roman" w:hAnsi="Times New Roman"/>
                <w:sz w:val="14"/>
                <w:szCs w:val="14"/>
                <w:color w:val="auto"/>
              </w:rPr>
              <w:t xml:space="preserve">Short-Term Incentive </w:t>
            </w:r>
            <w:r>
              <w:rPr>
                <w:rFonts w:ascii="Times New Roman" w:cs="Times New Roman" w:eastAsia="Times New Roman" w:hAnsi="Times New Roman"/>
                <w:sz w:val="18"/>
                <w:szCs w:val="18"/>
                <w:color w:val="auto"/>
                <w:vertAlign w:val="superscript"/>
              </w:rPr>
              <w:t>(3)</w:t>
            </w:r>
          </w:p>
        </w:tc>
        <w:tc>
          <w:tcPr>
            <w:tcW w:w="10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1120" w:type="dxa"/>
            <w:vAlign w:val="bottom"/>
            <w:tcBorders>
              <w:bottom w:val="single" w:sz="8" w:color="B6B6B6"/>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tcPr>
          <w:p>
            <w:pPr>
              <w:jc w:val="right"/>
              <w:ind w:right="68"/>
              <w:spacing w:after="0"/>
              <w:rPr>
                <w:sz w:val="20"/>
                <w:szCs w:val="20"/>
                <w:color w:val="auto"/>
              </w:rPr>
            </w:pPr>
            <w:r>
              <w:rPr>
                <w:rFonts w:ascii="Times New Roman" w:cs="Times New Roman" w:eastAsia="Times New Roman" w:hAnsi="Times New Roman"/>
                <w:sz w:val="14"/>
                <w:szCs w:val="14"/>
                <w:color w:val="auto"/>
              </w:rPr>
              <w:t>520,000</w:t>
            </w:r>
          </w:p>
        </w:tc>
        <w:tc>
          <w:tcPr>
            <w:tcW w:w="9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0" w:type="dxa"/>
            <w:vAlign w:val="bottom"/>
          </w:tcPr>
          <w:p>
            <w:pPr>
              <w:spacing w:after="0"/>
              <w:rPr>
                <w:sz w:val="1"/>
                <w:szCs w:val="1"/>
                <w:color w:val="auto"/>
              </w:rPr>
            </w:pPr>
          </w:p>
        </w:tc>
      </w:tr>
      <w:tr>
        <w:trPr>
          <w:trHeight w:val="78"/>
        </w:trPr>
        <w:tc>
          <w:tcPr>
            <w:tcW w:w="1260" w:type="dxa"/>
            <w:vAlign w:val="bottom"/>
            <w:vMerge w:val="continue"/>
          </w:tcPr>
          <w:p>
            <w:pPr>
              <w:spacing w:after="0"/>
              <w:rPr>
                <w:sz w:val="6"/>
                <w:szCs w:val="6"/>
                <w:color w:val="auto"/>
              </w:rPr>
            </w:pP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Health Benefit Payments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260" w:type="dxa"/>
            <w:vAlign w:val="bottom"/>
          </w:tcPr>
          <w:p>
            <w:pPr>
              <w:spacing w:after="0"/>
              <w:rPr>
                <w:sz w:val="9"/>
                <w:szCs w:val="9"/>
                <w:color w:val="auto"/>
              </w:rPr>
            </w:pPr>
          </w:p>
        </w:tc>
        <w:tc>
          <w:tcPr>
            <w:tcW w:w="1560" w:type="dxa"/>
            <w:vAlign w:val="bottom"/>
            <w:tcBorders>
              <w:bottom w:val="single" w:sz="8" w:color="B6B6B6"/>
            </w:tcBorders>
            <w:vMerge w:val="continue"/>
          </w:tcPr>
          <w:p>
            <w:pPr>
              <w:spacing w:after="0"/>
              <w:rPr>
                <w:sz w:val="9"/>
                <w:szCs w:val="9"/>
                <w:color w:val="auto"/>
              </w:rPr>
            </w:pPr>
          </w:p>
        </w:tc>
        <w:tc>
          <w:tcPr>
            <w:tcW w:w="1080" w:type="dxa"/>
            <w:vAlign w:val="bottom"/>
            <w:tcBorders>
              <w:bottom w:val="single" w:sz="8" w:color="B6B6B6"/>
            </w:tcBorders>
            <w:vMerge w:val="continue"/>
          </w:tcPr>
          <w:p>
            <w:pPr>
              <w:spacing w:after="0"/>
              <w:rPr>
                <w:sz w:val="9"/>
                <w:szCs w:val="9"/>
                <w:color w:val="auto"/>
              </w:rPr>
            </w:pPr>
          </w:p>
        </w:tc>
        <w:tc>
          <w:tcPr>
            <w:tcW w:w="1160" w:type="dxa"/>
            <w:vAlign w:val="bottom"/>
            <w:tcBorders>
              <w:bottom w:val="single" w:sz="8" w:color="B6B6B6"/>
            </w:tcBorders>
            <w:vMerge w:val="continue"/>
          </w:tcPr>
          <w:p>
            <w:pPr>
              <w:spacing w:after="0"/>
              <w:rPr>
                <w:sz w:val="9"/>
                <w:szCs w:val="9"/>
                <w:color w:val="auto"/>
              </w:rPr>
            </w:pPr>
          </w:p>
        </w:tc>
        <w:tc>
          <w:tcPr>
            <w:tcW w:w="1120" w:type="dxa"/>
            <w:vAlign w:val="bottom"/>
            <w:tcBorders>
              <w:bottom w:val="single" w:sz="8" w:color="B6B6B6"/>
            </w:tcBorders>
            <w:vMerge w:val="continue"/>
          </w:tcPr>
          <w:p>
            <w:pPr>
              <w:spacing w:after="0"/>
              <w:rPr>
                <w:sz w:val="9"/>
                <w:szCs w:val="9"/>
                <w:color w:val="auto"/>
              </w:rPr>
            </w:pPr>
          </w:p>
        </w:tc>
        <w:tc>
          <w:tcPr>
            <w:tcW w:w="1240" w:type="dxa"/>
            <w:vAlign w:val="bottom"/>
            <w:tcBorders>
              <w:bottom w:val="single" w:sz="8" w:color="B6B6B6"/>
            </w:tcBorders>
            <w:vMerge w:val="continue"/>
          </w:tcPr>
          <w:p>
            <w:pPr>
              <w:spacing w:after="0"/>
              <w:rPr>
                <w:sz w:val="9"/>
                <w:szCs w:val="9"/>
                <w:color w:val="auto"/>
              </w:rPr>
            </w:pPr>
          </w:p>
        </w:tc>
        <w:tc>
          <w:tcPr>
            <w:tcW w:w="980" w:type="dxa"/>
            <w:vAlign w:val="bottom"/>
            <w:tcBorders>
              <w:bottom w:val="single" w:sz="8" w:color="B6B6B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1260" w:type="dxa"/>
            <w:vAlign w:val="bottom"/>
          </w:tcPr>
          <w:p>
            <w:pPr>
              <w:spacing w:after="0"/>
              <w:rPr>
                <w:sz w:val="21"/>
                <w:szCs w:val="21"/>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Equity Vesting </w:t>
            </w:r>
            <w:r>
              <w:rPr>
                <w:rFonts w:ascii="Times New Roman" w:cs="Times New Roman" w:eastAsia="Times New Roman" w:hAnsi="Times New Roman"/>
                <w:sz w:val="18"/>
                <w:szCs w:val="18"/>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3,044,495</w:t>
            </w:r>
          </w:p>
        </w:tc>
        <w:tc>
          <w:tcPr>
            <w:tcW w:w="1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9,060,676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9,060,676</w:t>
            </w:r>
          </w:p>
        </w:tc>
        <w:tc>
          <w:tcPr>
            <w:tcW w:w="0" w:type="dxa"/>
            <w:vAlign w:val="bottom"/>
          </w:tcPr>
          <w:p>
            <w:pPr>
              <w:spacing w:after="0"/>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20" w:right="559" w:hanging="328"/>
        <w:spacing w:after="0" w:line="342" w:lineRule="auto"/>
        <w:tabs>
          <w:tab w:leader="none" w:pos="66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values reflect acceleration of unvested grants in the event of death. The compensation committee has the discretion to accelerate vesting in the event of a disability.</w:t>
      </w:r>
    </w:p>
    <w:p>
      <w:pPr>
        <w:spacing w:after="0" w:line="81" w:lineRule="exact"/>
        <w:rPr>
          <w:rFonts w:ascii="Times New Roman" w:cs="Times New Roman" w:eastAsia="Times New Roman" w:hAnsi="Times New Roman"/>
          <w:sz w:val="14"/>
          <w:szCs w:val="14"/>
          <w:color w:val="auto"/>
        </w:rPr>
      </w:pPr>
    </w:p>
    <w:p>
      <w:pPr>
        <w:ind w:left="620" w:right="359" w:hanging="328"/>
        <w:spacing w:after="0" w:line="342" w:lineRule="auto"/>
        <w:tabs>
          <w:tab w:leader="none" w:pos="62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value of equity awards that would vest upon the noted termination of employment based on the closing stock price of our Class A common stock on December 31, 2025, of $72.23 per share.</w:t>
      </w:r>
    </w:p>
    <w:p>
      <w:pPr>
        <w:spacing w:after="0" w:line="54" w:lineRule="exact"/>
        <w:rPr>
          <w:rFonts w:ascii="Times New Roman" w:cs="Times New Roman" w:eastAsia="Times New Roman" w:hAnsi="Times New Roman"/>
          <w:sz w:val="14"/>
          <w:szCs w:val="14"/>
          <w:color w:val="auto"/>
        </w:rPr>
      </w:pPr>
    </w:p>
    <w:p>
      <w:pPr>
        <w:ind w:left="620" w:right="359" w:hanging="328"/>
        <w:spacing w:after="0" w:line="245" w:lineRule="auto"/>
        <w:tabs>
          <w:tab w:leader="none" w:pos="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Short-Term Incentive payments, while the named executive officers had the rights described in the narrative above to receive pro-rated payment of the 2025 Short-Term Incentive under certain scenarios, the Company retained the discretion in each case to determine the amount of such pro-rated payment, including based on actual performance and any other criteria the Company deems relevant. For purposes of this disclosure, each of the Short-Term Incentive payments is disclosed at the named executive officer’s target level for the full year, but actual payment under non-hypothetical situations could be more or less than target, depending on the timing of the scenario and the compensation committee’s use of discretion.</w:t>
      </w:r>
    </w:p>
    <w:p>
      <w:pPr>
        <w:sectPr>
          <w:pgSz w:w="11900" w:h="16838" w:orient="portrait"/>
          <w:cols w:equalWidth="0" w:num="1">
            <w:col w:w="9019"/>
          </w:cols>
          <w:pgMar w:left="1440" w:top="1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019"/>
          </w:cols>
          <w:pgMar w:left="1440" w:top="1289"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CEO Pay Ratio</w:t>
      </w:r>
    </w:p>
    <w:p>
      <w:pPr>
        <w:spacing w:after="0" w:line="244" w:lineRule="exact"/>
        <w:rPr>
          <w:sz w:val="20"/>
          <w:szCs w:val="20"/>
          <w:color w:val="auto"/>
        </w:rPr>
      </w:pPr>
    </w:p>
    <w:p>
      <w:pPr>
        <w:ind w:left="300" w:right="319"/>
        <w:spacing w:after="0" w:line="239" w:lineRule="auto"/>
        <w:rPr>
          <w:sz w:val="20"/>
          <w:szCs w:val="20"/>
          <w:color w:val="auto"/>
        </w:rPr>
      </w:pPr>
      <w:r>
        <w:rPr>
          <w:rFonts w:ascii="Times New Roman" w:cs="Times New Roman" w:eastAsia="Times New Roman" w:hAnsi="Times New Roman"/>
          <w:sz w:val="18"/>
          <w:szCs w:val="18"/>
          <w:color w:val="auto"/>
        </w:rPr>
        <w:t xml:space="preserve">Mr. Timm, our CEO, received annual total compensation of $ 8,163,348 in 2025, as reflected in the “ </w:t>
      </w:r>
      <w:r>
        <w:rPr>
          <w:rFonts w:ascii="Times New Roman" w:cs="Times New Roman" w:eastAsia="Times New Roman" w:hAnsi="Times New Roman"/>
          <w:sz w:val="18"/>
          <w:szCs w:val="18"/>
          <w:i w:val="1"/>
          <w:iCs w:val="1"/>
          <w:color w:val="auto"/>
        </w:rPr>
        <w:t>2025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Table.” </w:t>
      </w:r>
      <w:r>
        <w:rPr>
          <w:rFonts w:ascii="Times New Roman" w:cs="Times New Roman" w:eastAsia="Times New Roman" w:hAnsi="Times New Roman"/>
          <w:sz w:val="18"/>
          <w:szCs w:val="18"/>
          <w:color w:val="auto"/>
        </w:rPr>
        <w:t>We estimate that the median of the 2025 annual total compensation for all employees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 of December 31, 2025 (the “Determination Date”), excluding our CEO, w as $68,634, which amount comprises all applicable elements of compensation for 2025 in accordance with Item 402(c)(2)(x) of Regulation S-K (the “Median Annual Compensation”). The ratio of Mr. Timm’s annual 2025 total compensation to the Median Annual Compensation was approximately 119 to 1. We note that due to our permitted use of reasonable estimates and assumptions in preparing this pay ratio disclosure, the disclosure may involve a degree of imprecision, and thus, the disclosure is a reasonable estimate calculated in a manner consistent with Item 402(u) of Regulation S-K using the data and assumptions described above.</w:t>
      </w:r>
    </w:p>
    <w:p>
      <w:pPr>
        <w:spacing w:after="0" w:line="172" w:lineRule="exact"/>
        <w:rPr>
          <w:sz w:val="20"/>
          <w:szCs w:val="20"/>
          <w:color w:val="auto"/>
        </w:rPr>
      </w:pPr>
    </w:p>
    <w:p>
      <w:pPr>
        <w:ind w:left="300" w:right="359"/>
        <w:spacing w:after="0" w:line="239" w:lineRule="auto"/>
        <w:rPr>
          <w:sz w:val="20"/>
          <w:szCs w:val="20"/>
          <w:color w:val="auto"/>
        </w:rPr>
      </w:pPr>
      <w:r>
        <w:rPr>
          <w:rFonts w:ascii="Times New Roman" w:cs="Times New Roman" w:eastAsia="Times New Roman" w:hAnsi="Times New Roman"/>
          <w:sz w:val="18"/>
          <w:szCs w:val="18"/>
          <w:color w:val="auto"/>
        </w:rPr>
        <w:t>In addition to our CEO, we employed a total of 1,259 employees, representing all full-time, part-time, seasonal and temporary employees of the Company, as of the Determination Date, of which all were based in the United States. We evaluated 2025 Form W-2 box 1 income for these 1,259 employees to determine the Median Employee. In determining the Median Employee, we did not annualize compensation for employees who worked less than all of 2025.</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1215" w:right="1440" w:bottom="1440" w:gutter="0" w:footer="0" w:header="0"/>
          <w:type w:val="continuous"/>
        </w:sectPr>
      </w:pPr>
    </w:p>
    <w:bookmarkStart w:id="55" w:name="page56"/>
    <w:bookmarkEnd w:id="55"/>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Pay Versus Performance</w:t>
      </w:r>
    </w:p>
    <w:p>
      <w:pPr>
        <w:spacing w:after="0" w:line="206" w:lineRule="exact"/>
        <w:rPr>
          <w:sz w:val="20"/>
          <w:szCs w:val="20"/>
          <w:color w:val="auto"/>
        </w:rPr>
      </w:pPr>
    </w:p>
    <w:p>
      <w:pPr>
        <w:ind w:left="300" w:right="319"/>
        <w:spacing w:after="0" w:line="242" w:lineRule="auto"/>
        <w:rPr>
          <w:sz w:val="20"/>
          <w:szCs w:val="20"/>
          <w:color w:val="auto"/>
        </w:rPr>
      </w:pPr>
      <w:r>
        <w:rPr>
          <w:rFonts w:ascii="Times New Roman" w:cs="Times New Roman" w:eastAsia="Times New Roman" w:hAnsi="Times New Roman"/>
          <w:sz w:val="18"/>
          <w:szCs w:val="18"/>
          <w:color w:val="auto"/>
        </w:rPr>
        <w:t>The following table provides information regarding “Compensation Actually Paid” (“CAP”) to our named executive officers as determined in accordance with Item 402(v) of Regulation S-K and as described below, as well as Root’s total stockholder return, the total stockholder return of our peer group (which includes the same issuers included in the peer group depicted in our stock performance graph), Root’s GAAP net income (loss) and Root’s Adjusted EBITDA for the fiscal years ended December 31, 2025, 2024, 2023, 2022, and 2021.</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CAP</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59"/>
        </w:trPr>
        <w:tc>
          <w:tcPr>
            <w:tcW w:w="560" w:type="dxa"/>
            <w:vAlign w:val="bottom"/>
          </w:tcPr>
          <w:p>
            <w:pPr>
              <w:spacing w:after="0"/>
              <w:rPr>
                <w:sz w:val="13"/>
                <w:szCs w:val="13"/>
                <w:color w:val="auto"/>
              </w:rPr>
            </w:pPr>
          </w:p>
        </w:tc>
        <w:tc>
          <w:tcPr>
            <w:tcW w:w="1040" w:type="dxa"/>
            <w:vAlign w:val="bottom"/>
          </w:tcPr>
          <w:p>
            <w:pPr>
              <w:jc w:val="center"/>
              <w:ind w:right="11"/>
              <w:spacing w:after="0" w:line="15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980" w:type="dxa"/>
            <w:vAlign w:val="bottom"/>
          </w:tcPr>
          <w:p>
            <w:pPr>
              <w:jc w:val="center"/>
              <w:ind w:right="8"/>
              <w:spacing w:after="0" w:line="159" w:lineRule="exact"/>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tcPr>
          <w:p>
            <w:pPr>
              <w:jc w:val="center"/>
              <w:ind w:right="8"/>
              <w:spacing w:after="0" w:line="159"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CAP to PEO</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(4)</w:t>
            </w:r>
          </w:p>
        </w:tc>
        <w:tc>
          <w:tcPr>
            <w:tcW w:w="0" w:type="dxa"/>
            <w:vAlign w:val="bottom"/>
          </w:tcPr>
          <w:p>
            <w:pPr>
              <w:spacing w:after="0"/>
              <w:rPr>
                <w:sz w:val="1"/>
                <w:szCs w:val="1"/>
                <w:color w:val="auto"/>
              </w:rPr>
            </w:pPr>
          </w:p>
        </w:tc>
      </w:tr>
      <w:tr>
        <w:trPr>
          <w:trHeight w:val="183"/>
        </w:trPr>
        <w:tc>
          <w:tcPr>
            <w:tcW w:w="560" w:type="dxa"/>
            <w:vAlign w:val="bottom"/>
            <w:tcBorders>
              <w:bottom w:val="single" w:sz="8" w:color="FF5715"/>
            </w:tcBorders>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 xml:space="preserve">Year </w:t>
            </w:r>
            <w:r>
              <w:rPr>
                <w:rFonts w:ascii="Times New Roman" w:cs="Times New Roman" w:eastAsia="Times New Roman" w:hAnsi="Times New Roman"/>
                <w:sz w:val="18"/>
                <w:szCs w:val="18"/>
                <w:b w:val="1"/>
                <w:bCs w:val="1"/>
                <w:color w:val="auto"/>
                <w:w w:val="93"/>
                <w:vertAlign w:val="superscript"/>
              </w:rPr>
              <w:t>(1)</w:t>
            </w:r>
          </w:p>
        </w:tc>
        <w:tc>
          <w:tcPr>
            <w:tcW w:w="1040" w:type="dxa"/>
            <w:vAlign w:val="bottom"/>
            <w:tcBorders>
              <w:bottom w:val="single" w:sz="8" w:color="FF5715"/>
            </w:tcBorders>
          </w:tcPr>
          <w:p>
            <w:pPr>
              <w:jc w:val="cente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1020" w:type="dxa"/>
            <w:vAlign w:val="bottom"/>
            <w:tcBorders>
              <w:bottom w:val="single" w:sz="8" w:color="FF5715"/>
            </w:tcBorders>
          </w:tcPr>
          <w:p>
            <w:pPr>
              <w:jc w:val="right"/>
              <w:ind w:right="333"/>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11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Borders>
              <w:bottom w:val="single" w:sz="8" w:color="FF5715"/>
            </w:tcBorders>
          </w:tcPr>
          <w:p>
            <w:pPr>
              <w:jc w:val="cente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88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Borders>
              <w:bottom w:val="single" w:sz="8" w:color="FF5715"/>
            </w:tcBorders>
          </w:tcPr>
          <w:p>
            <w:pPr>
              <w:jc w:val="cente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(3)</w:t>
            </w:r>
          </w:p>
        </w:tc>
        <w:tc>
          <w:tcPr>
            <w:tcW w:w="980" w:type="dxa"/>
            <w:vAlign w:val="bottom"/>
            <w:tcBorders>
              <w:bottom w:val="single" w:sz="8" w:color="FF5715"/>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40" w:type="dxa"/>
            <w:vAlign w:val="bottom"/>
            <w:shd w:val="clear" w:color="auto" w:fill="DBDBDB"/>
          </w:tcPr>
          <w:p>
            <w:pPr>
              <w:jc w:val="right"/>
              <w:ind w:right="31"/>
              <w:spacing w:after="0"/>
              <w:rPr>
                <w:sz w:val="20"/>
                <w:szCs w:val="20"/>
                <w:color w:val="auto"/>
              </w:rPr>
            </w:pPr>
            <w:r>
              <w:rPr>
                <w:rFonts w:ascii="Times New Roman" w:cs="Times New Roman" w:eastAsia="Times New Roman" w:hAnsi="Times New Roman"/>
                <w:sz w:val="14"/>
                <w:szCs w:val="14"/>
                <w:color w:val="auto"/>
              </w:rPr>
              <w:t>8,163,348</w:t>
            </w:r>
          </w:p>
        </w:tc>
        <w:tc>
          <w:tcPr>
            <w:tcW w:w="1020" w:type="dxa"/>
            <w:vAlign w:val="bottom"/>
            <w:shd w:val="clear" w:color="auto" w:fill="DBDBDB"/>
          </w:tcPr>
          <w:p>
            <w:pPr>
              <w:jc w:val="right"/>
              <w:ind w:right="13"/>
              <w:spacing w:after="0"/>
              <w:rPr>
                <w:sz w:val="20"/>
                <w:szCs w:val="20"/>
                <w:color w:val="auto"/>
              </w:rPr>
            </w:pPr>
            <w:r>
              <w:rPr>
                <w:rFonts w:ascii="Times New Roman" w:cs="Times New Roman" w:eastAsia="Times New Roman" w:hAnsi="Times New Roman"/>
                <w:sz w:val="14"/>
                <w:szCs w:val="14"/>
                <w:color w:val="auto"/>
              </w:rPr>
              <w:t>14,113,264</w:t>
            </w:r>
          </w:p>
        </w:tc>
        <w:tc>
          <w:tcPr>
            <w:tcW w:w="112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4,159,731</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6,852,767</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9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11"/>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10,653,120</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33,628,828</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5,444,054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14,275,890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92.13</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21"/>
        </w:trPr>
        <w:tc>
          <w:tcPr>
            <w:tcW w:w="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40" w:type="dxa"/>
            <w:vAlign w:val="bottom"/>
            <w:shd w:val="clear" w:color="auto" w:fill="DBDBDB"/>
          </w:tcPr>
          <w:p>
            <w:pPr>
              <w:jc w:val="right"/>
              <w:ind w:right="31"/>
              <w:spacing w:after="0"/>
              <w:rPr>
                <w:sz w:val="20"/>
                <w:szCs w:val="20"/>
                <w:color w:val="auto"/>
              </w:rPr>
            </w:pPr>
            <w:r>
              <w:rPr>
                <w:rFonts w:ascii="Times New Roman" w:cs="Times New Roman" w:eastAsia="Times New Roman" w:hAnsi="Times New Roman"/>
                <w:sz w:val="14"/>
                <w:szCs w:val="14"/>
                <w:color w:val="auto"/>
              </w:rPr>
              <w:t>8,687,806</w:t>
            </w:r>
          </w:p>
        </w:tc>
        <w:tc>
          <w:tcPr>
            <w:tcW w:w="1020" w:type="dxa"/>
            <w:vAlign w:val="bottom"/>
            <w:shd w:val="clear" w:color="auto" w:fill="DBDBDB"/>
          </w:tcPr>
          <w:p>
            <w:pPr>
              <w:jc w:val="right"/>
              <w:ind w:right="13"/>
              <w:spacing w:after="0"/>
              <w:rPr>
                <w:sz w:val="20"/>
                <w:szCs w:val="20"/>
                <w:color w:val="auto"/>
              </w:rPr>
            </w:pPr>
            <w:r>
              <w:rPr>
                <w:rFonts w:ascii="Times New Roman" w:cs="Times New Roman" w:eastAsia="Times New Roman" w:hAnsi="Times New Roman"/>
                <w:sz w:val="14"/>
                <w:szCs w:val="14"/>
                <w:color w:val="auto"/>
              </w:rPr>
              <w:t>9,709,825</w:t>
            </w:r>
          </w:p>
        </w:tc>
        <w:tc>
          <w:tcPr>
            <w:tcW w:w="112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3,720,868</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4,355,570</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98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1"/>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5,126,730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(3,002,565)</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5,231,713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1,612,583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21"/>
        </w:trPr>
        <w:tc>
          <w:tcPr>
            <w:tcW w:w="5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40" w:type="dxa"/>
            <w:vAlign w:val="bottom"/>
            <w:shd w:val="clear" w:color="auto" w:fill="DBDBDB"/>
          </w:tcPr>
          <w:p>
            <w:pPr>
              <w:jc w:val="right"/>
              <w:ind w:right="31"/>
              <w:spacing w:after="0"/>
              <w:rPr>
                <w:sz w:val="20"/>
                <w:szCs w:val="20"/>
                <w:color w:val="auto"/>
              </w:rPr>
            </w:pPr>
            <w:r>
              <w:rPr>
                <w:rFonts w:ascii="Times New Roman" w:cs="Times New Roman" w:eastAsia="Times New Roman" w:hAnsi="Times New Roman"/>
                <w:sz w:val="14"/>
                <w:szCs w:val="14"/>
                <w:color w:val="auto"/>
              </w:rPr>
              <w:t>5,784,695</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(25,185,719)</w:t>
            </w:r>
          </w:p>
        </w:tc>
        <w:tc>
          <w:tcPr>
            <w:tcW w:w="112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9,760,351</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(5,961,079)</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980" w:type="dxa"/>
            <w:vAlign w:val="bottom"/>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(521)</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20" w:hanging="328"/>
        <w:spacing w:after="0"/>
        <w:tabs>
          <w:tab w:leader="none" w:pos="6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lists the PEO and non-PEO NEOs for each of fiscal years 2025, 2024, 2023, 2022, and 2021.</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840" w:type="dxa"/>
            <w:vAlign w:val="bottom"/>
            <w:tcBorders>
              <w:bottom w:val="single" w:sz="8" w:color="FF5715"/>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5780" w:type="dxa"/>
            <w:vAlign w:val="bottom"/>
            <w:tcBorders>
              <w:bottom w:val="single" w:sz="8" w:color="FF5715"/>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03"/>
        </w:trPr>
        <w:tc>
          <w:tcPr>
            <w:tcW w:w="8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1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Alexander Timm</w:t>
            </w:r>
          </w:p>
        </w:tc>
        <w:tc>
          <w:tcPr>
            <w:tcW w:w="5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Megan Binkley, Mahtiyar Bonakdarpour, and Jonathan Allison</w:t>
            </w:r>
          </w:p>
        </w:tc>
      </w:tr>
      <w:tr>
        <w:trPr>
          <w:trHeight w:val="211"/>
        </w:trPr>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Alexander Timm</w:t>
            </w:r>
          </w:p>
        </w:tc>
        <w:tc>
          <w:tcPr>
            <w:tcW w:w="5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Megan Binkley, Mahtiyar Bonakdarpour, and Jonathan Allison</w:t>
            </w:r>
          </w:p>
        </w:tc>
      </w:tr>
      <w:tr>
        <w:trPr>
          <w:trHeight w:val="221"/>
        </w:trPr>
        <w:tc>
          <w:tcPr>
            <w:tcW w:w="8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Alexander Timm</w:t>
            </w:r>
          </w:p>
        </w:tc>
        <w:tc>
          <w:tcPr>
            <w:tcW w:w="5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Mahtiyar Bonakdarpour and Jonathan Allison</w:t>
            </w:r>
          </w:p>
        </w:tc>
      </w:tr>
      <w:tr>
        <w:trPr>
          <w:trHeight w:val="211"/>
        </w:trPr>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Alexander Timm</w:t>
            </w:r>
          </w:p>
        </w:tc>
        <w:tc>
          <w:tcPr>
            <w:tcW w:w="5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Robert Bateman, Mahtiyar Bonakdarpour, Daniel Rosenthal, and Hemal Shah</w:t>
            </w:r>
          </w:p>
        </w:tc>
      </w:tr>
      <w:tr>
        <w:trPr>
          <w:trHeight w:val="221"/>
        </w:trPr>
        <w:tc>
          <w:tcPr>
            <w:tcW w:w="84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1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Alexander Timm</w:t>
            </w:r>
          </w:p>
        </w:tc>
        <w:tc>
          <w:tcPr>
            <w:tcW w:w="57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Daniel Rosenthal, Hemal Shah, Anirban Kundu, and Daniel Manges</w:t>
            </w:r>
          </w:p>
        </w:tc>
      </w:tr>
    </w:tbl>
    <w:p>
      <w:pPr>
        <w:spacing w:after="0" w:line="205" w:lineRule="exact"/>
        <w:rPr>
          <w:sz w:val="20"/>
          <w:szCs w:val="20"/>
          <w:color w:val="auto"/>
        </w:rPr>
      </w:pPr>
    </w:p>
    <w:p>
      <w:pPr>
        <w:ind w:left="620" w:right="299" w:hanging="328"/>
        <w:spacing w:after="0" w:line="247" w:lineRule="auto"/>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“CAP to the PEO” and “Average CAP to Non-PEO NEOs” includes the amounts set forth in the </w:t>
      </w:r>
      <w:r>
        <w:rPr>
          <w:rFonts w:ascii="Times New Roman" w:cs="Times New Roman" w:eastAsia="Times New Roman" w:hAnsi="Times New Roman"/>
          <w:sz w:val="14"/>
          <w:szCs w:val="14"/>
          <w:i w:val="1"/>
          <w:iCs w:val="1"/>
          <w:color w:val="auto"/>
        </w:rPr>
        <w:t>“2025 Summary Compensation Table”</w:t>
      </w:r>
      <w:r>
        <w:rPr>
          <w:rFonts w:ascii="Times New Roman" w:cs="Times New Roman" w:eastAsia="Times New Roman" w:hAnsi="Times New Roman"/>
          <w:sz w:val="14"/>
          <w:szCs w:val="14"/>
          <w:color w:val="auto"/>
        </w:rPr>
        <w:t xml:space="preserve"> total columns above (or in prior years’ Summary Compensation Tables), adjusted as set forth in the table below, as determined by Item 402(v) of Regulation S-K. Stock option grant date fair values are determined based on the Black-Scholes option pricing model as of the date of grant. Adjustments have been made using stock option fair values based on the Black-Scholes option pricing model as of the measurement dates as described in the table below. The Black-Scholes option pricing model uses a consistent set of valuation inputs (including Root’s stock price, volatility, market risk-free rate, and the options’ strike price and term) which have been updated as of each measurement date, as applicable. RSU and PSU grant date fair values are determined using the stock price on the date of grant. Adjustments have been made using the stock price as of the measurement dates as described in the table below.</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348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10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 ($)</w:t>
            </w:r>
          </w:p>
        </w:tc>
        <w:tc>
          <w:tcPr>
            <w:tcW w:w="98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00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 ($)</w:t>
            </w:r>
          </w:p>
        </w:tc>
        <w:tc>
          <w:tcPr>
            <w:tcW w:w="98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 ($)</w:t>
            </w:r>
          </w:p>
        </w:tc>
        <w:tc>
          <w:tcPr>
            <w:tcW w:w="860" w:type="dxa"/>
            <w:vAlign w:val="bottom"/>
            <w:tcBorders>
              <w:bottom w:val="single" w:sz="8" w:color="FF5715"/>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 ($)</w:t>
            </w:r>
          </w:p>
        </w:tc>
        <w:tc>
          <w:tcPr>
            <w:tcW w:w="0" w:type="dxa"/>
            <w:vAlign w:val="bottom"/>
          </w:tcPr>
          <w:p>
            <w:pPr>
              <w:spacing w:after="0"/>
              <w:rPr>
                <w:sz w:val="1"/>
                <w:szCs w:val="1"/>
                <w:color w:val="auto"/>
              </w:rPr>
            </w:pPr>
          </w:p>
        </w:tc>
      </w:tr>
      <w:tr>
        <w:trPr>
          <w:trHeight w:val="203"/>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10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8,163,348</w:t>
            </w:r>
          </w:p>
        </w:tc>
        <w:tc>
          <w:tcPr>
            <w:tcW w:w="980" w:type="dxa"/>
            <w:vAlign w:val="bottom"/>
            <w:tcBorders>
              <w:bottom w:val="single" w:sz="8" w:color="auto"/>
            </w:tcBorders>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10,653,120</w:t>
            </w:r>
          </w:p>
        </w:tc>
        <w:tc>
          <w:tcPr>
            <w:tcW w:w="100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8,687,806</w:t>
            </w:r>
          </w:p>
        </w:tc>
        <w:tc>
          <w:tcPr>
            <w:tcW w:w="98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5,126,730</w:t>
            </w:r>
          </w:p>
        </w:tc>
        <w:tc>
          <w:tcPr>
            <w:tcW w:w="8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5,784,695</w:t>
            </w:r>
          </w:p>
        </w:tc>
        <w:tc>
          <w:tcPr>
            <w:tcW w:w="0" w:type="dxa"/>
            <w:vAlign w:val="bottom"/>
          </w:tcPr>
          <w:p>
            <w:pPr>
              <w:spacing w:after="0"/>
              <w:rPr>
                <w:sz w:val="1"/>
                <w:szCs w:val="1"/>
                <w:color w:val="auto"/>
              </w:rPr>
            </w:pPr>
          </w:p>
        </w:tc>
      </w:tr>
      <w:tr>
        <w:trPr>
          <w:trHeight w:val="191"/>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-SCT “Stock Awards” Column Value</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(5,499,875)</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(6,504,587)</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(2,121,471)</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(2,117,395)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(5,066,228)</w:t>
            </w:r>
          </w:p>
        </w:tc>
        <w:tc>
          <w:tcPr>
            <w:tcW w:w="0" w:type="dxa"/>
            <w:vAlign w:val="bottom"/>
          </w:tcPr>
          <w:p>
            <w:pPr>
              <w:spacing w:after="0"/>
              <w:rPr>
                <w:sz w:val="1"/>
                <w:szCs w:val="1"/>
                <w:color w:val="auto"/>
              </w:rPr>
            </w:pPr>
          </w:p>
        </w:tc>
      </w:tr>
      <w:tr>
        <w:trPr>
          <w:trHeight w:val="221"/>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-SCT “Option Awards” Column Value</w:t>
            </w:r>
          </w:p>
        </w:tc>
        <w:tc>
          <w:tcPr>
            <w:tcW w:w="11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+year-end fair value of equity awards granted in the</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covered year that are outstanding and unvested as of the</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3,744,306</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6,471,326</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2,471,966</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276,530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1,539,689</w:t>
            </w:r>
          </w:p>
        </w:tc>
        <w:tc>
          <w:tcPr>
            <w:tcW w:w="0" w:type="dxa"/>
            <w:vAlign w:val="bottom"/>
          </w:tcPr>
          <w:p>
            <w:pPr>
              <w:spacing w:after="0"/>
              <w:rPr>
                <w:sz w:val="1"/>
                <w:szCs w:val="1"/>
                <w:color w:val="auto"/>
              </w:rPr>
            </w:pPr>
          </w:p>
        </w:tc>
      </w:tr>
      <w:tr>
        <w:trPr>
          <w:trHeight w:val="188"/>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covered year end</w:t>
            </w: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+/-change in fair value (from prior year end to covered</w:t>
            </w:r>
          </w:p>
        </w:tc>
        <w:tc>
          <w:tcPr>
            <w:tcW w:w="11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year end) of equity awards granted in prior years that are</w:t>
            </w:r>
          </w:p>
        </w:tc>
        <w:tc>
          <w:tcPr>
            <w:tcW w:w="11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2,925,933</w:t>
            </w:r>
          </w:p>
        </w:tc>
        <w:tc>
          <w:tcPr>
            <w:tcW w:w="9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20,250,158</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505,897</w:t>
            </w:r>
          </w:p>
        </w:tc>
        <w:tc>
          <w:tcPr>
            <w:tcW w:w="9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(5,137,824)</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(24,692,246)</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outstanding and unvested as of the covered year end</w:t>
            </w:r>
          </w:p>
        </w:tc>
        <w:tc>
          <w:tcPr>
            <w:tcW w:w="11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+vesting date fair value of equity awards granted and</w:t>
            </w: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vested in the covered year end</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 change in fair value (from prior year end to vesting</w:t>
            </w:r>
          </w:p>
        </w:tc>
        <w:tc>
          <w:tcPr>
            <w:tcW w:w="11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date) of equity awards granted in prior years that vested in</w:t>
            </w:r>
          </w:p>
        </w:tc>
        <w:tc>
          <w:tcPr>
            <w:tcW w:w="11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4,779,552</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2,758,811</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165,627</w:t>
            </w:r>
          </w:p>
        </w:tc>
        <w:tc>
          <w:tcPr>
            <w:tcW w:w="9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(1,150,606)</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(2,751,629)</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the covered year</w:t>
            </w:r>
          </w:p>
        </w:tc>
        <w:tc>
          <w:tcPr>
            <w:tcW w:w="11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-fair value as of prior year end of equity awards granted in</w:t>
            </w: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prior years that failed to vest in the covered year</w:t>
            </w: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+dividends or earnings paid on equity awards in the</w:t>
            </w:r>
          </w:p>
        </w:tc>
        <w:tc>
          <w:tcPr>
            <w:tcW w:w="11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348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covered year</w:t>
            </w:r>
          </w:p>
        </w:tc>
        <w:tc>
          <w:tcPr>
            <w:tcW w:w="1100" w:type="dxa"/>
            <w:vAlign w:val="bottom"/>
            <w:vMerge w:val="continue"/>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8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480" w:type="dxa"/>
            <w:vAlign w:val="bottom"/>
            <w:vMerge w:val="continue"/>
            <w:shd w:val="clear" w:color="auto" w:fill="DBDBDB"/>
          </w:tcPr>
          <w:p>
            <w:pPr>
              <w:spacing w:after="0"/>
              <w:rPr>
                <w:sz w:val="7"/>
                <w:szCs w:val="7"/>
                <w:color w:val="auto"/>
              </w:rPr>
            </w:pPr>
          </w:p>
        </w:tc>
        <w:tc>
          <w:tcPr>
            <w:tcW w:w="11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Amount Added or Deducted from Summary</w:t>
            </w:r>
          </w:p>
        </w:tc>
        <w:tc>
          <w:tcPr>
            <w:tcW w:w="11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5,949,916</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22,975,708</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1,022,019</w:t>
            </w: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(8,129,295)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(30,970,414)</w:t>
            </w:r>
          </w:p>
        </w:tc>
        <w:tc>
          <w:tcPr>
            <w:tcW w:w="0" w:type="dxa"/>
            <w:vAlign w:val="bottom"/>
          </w:tcPr>
          <w:p>
            <w:pPr>
              <w:spacing w:after="0"/>
              <w:rPr>
                <w:sz w:val="1"/>
                <w:szCs w:val="1"/>
                <w:color w:val="auto"/>
              </w:rPr>
            </w:pPr>
          </w:p>
        </w:tc>
      </w:tr>
      <w:tr>
        <w:trPr>
          <w:trHeight w:val="107"/>
        </w:trPr>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Compensation Table Total</w:t>
            </w: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480" w:type="dxa"/>
            <w:vAlign w:val="bottom"/>
            <w:tcBorders>
              <w:bottom w:val="single" w:sz="8" w:color="DBDBDB"/>
            </w:tcBorders>
            <w:vMerge w:val="continue"/>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1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14,113,264</w:t>
            </w:r>
          </w:p>
        </w:tc>
        <w:tc>
          <w:tcPr>
            <w:tcW w:w="98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33,628,828</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9,709,825</w:t>
            </w:r>
          </w:p>
        </w:tc>
        <w:tc>
          <w:tcPr>
            <w:tcW w:w="980" w:type="dxa"/>
            <w:vAlign w:val="bottom"/>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rPr>
              <w:t>(3,002,565)</w:t>
            </w:r>
          </w:p>
        </w:tc>
        <w:tc>
          <w:tcPr>
            <w:tcW w:w="8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(25,185,719)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1215" w:right="1440" w:bottom="1440" w:gutter="0" w:footer="0" w:header="0"/>
          <w:type w:val="continuous"/>
        </w:sectPr>
      </w:pPr>
    </w:p>
    <w:bookmarkStart w:id="56" w:name="page57"/>
    <w:bookmarkEnd w:id="56"/>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80"/>
        </w:trPr>
        <w:tc>
          <w:tcPr>
            <w:tcW w:w="3480" w:type="dxa"/>
            <w:vAlign w:val="bottom"/>
            <w:tcBorders>
              <w:bottom w:val="single" w:sz="8" w:color="FF5715"/>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110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 ($)</w:t>
            </w:r>
          </w:p>
        </w:tc>
        <w:tc>
          <w:tcPr>
            <w:tcW w:w="100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 ($)</w:t>
            </w:r>
          </w:p>
        </w:tc>
        <w:tc>
          <w:tcPr>
            <w:tcW w:w="98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 ($)</w:t>
            </w:r>
          </w:p>
        </w:tc>
        <w:tc>
          <w:tcPr>
            <w:tcW w:w="980" w:type="dxa"/>
            <w:vAlign w:val="bottom"/>
            <w:tcBorders>
              <w:bottom w:val="single" w:sz="8" w:color="FF5715"/>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 ($)</w:t>
            </w:r>
          </w:p>
        </w:tc>
        <w:tc>
          <w:tcPr>
            <w:tcW w:w="880" w:type="dxa"/>
            <w:vAlign w:val="bottom"/>
            <w:tcBorders>
              <w:bottom w:val="single" w:sz="8" w:color="FF5715"/>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 ($)</w:t>
            </w:r>
          </w:p>
        </w:tc>
        <w:tc>
          <w:tcPr>
            <w:tcW w:w="0" w:type="dxa"/>
            <w:vAlign w:val="bottom"/>
          </w:tcPr>
          <w:p>
            <w:pPr>
              <w:spacing w:after="0"/>
              <w:rPr>
                <w:sz w:val="1"/>
                <w:szCs w:val="1"/>
                <w:color w:val="auto"/>
              </w:rPr>
            </w:pPr>
          </w:p>
        </w:tc>
      </w:tr>
      <w:tr>
        <w:trPr>
          <w:trHeight w:val="203"/>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100" w:type="dxa"/>
            <w:vAlign w:val="bottom"/>
            <w:tcBorders>
              <w:bottom w:val="single" w:sz="8" w:color="auto"/>
            </w:tcBorders>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4,159,731</w:t>
            </w:r>
          </w:p>
        </w:tc>
        <w:tc>
          <w:tcPr>
            <w:tcW w:w="100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5,444,054</w:t>
            </w:r>
          </w:p>
        </w:tc>
        <w:tc>
          <w:tcPr>
            <w:tcW w:w="98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3,720,868</w:t>
            </w:r>
          </w:p>
        </w:tc>
        <w:tc>
          <w:tcPr>
            <w:tcW w:w="98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5,231,713</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9,760,351</w:t>
            </w:r>
          </w:p>
        </w:tc>
        <w:tc>
          <w:tcPr>
            <w:tcW w:w="0" w:type="dxa"/>
            <w:vAlign w:val="bottom"/>
          </w:tcPr>
          <w:p>
            <w:pPr>
              <w:spacing w:after="0"/>
              <w:rPr>
                <w:sz w:val="1"/>
                <w:szCs w:val="1"/>
                <w:color w:val="auto"/>
              </w:rPr>
            </w:pPr>
          </w:p>
        </w:tc>
      </w:tr>
      <w:tr>
        <w:trPr>
          <w:trHeight w:val="191"/>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-SCT “Stock Awards” Column Value</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(2,908,311)</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(3,514,939)</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(1,103,360)</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(2,630,288)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(8,996,668)</w:t>
            </w:r>
          </w:p>
        </w:tc>
        <w:tc>
          <w:tcPr>
            <w:tcW w:w="0" w:type="dxa"/>
            <w:vAlign w:val="bottom"/>
          </w:tcPr>
          <w:p>
            <w:pPr>
              <w:spacing w:after="0"/>
              <w:rPr>
                <w:sz w:val="1"/>
                <w:szCs w:val="1"/>
                <w:color w:val="auto"/>
              </w:rPr>
            </w:pPr>
          </w:p>
        </w:tc>
      </w:tr>
      <w:tr>
        <w:trPr>
          <w:trHeight w:val="221"/>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-SCT “Option Awards” Column Value</w:t>
            </w:r>
          </w:p>
        </w:tc>
        <w:tc>
          <w:tcPr>
            <w:tcW w:w="110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+year-end fair value of equity awards granted in the</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covered year that are outstanding and unvested as of the</w:t>
            </w: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1,979,967</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3,377,227</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1,283,361</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389,979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938,417</w:t>
            </w:r>
          </w:p>
        </w:tc>
        <w:tc>
          <w:tcPr>
            <w:tcW w:w="0" w:type="dxa"/>
            <w:vAlign w:val="bottom"/>
          </w:tcPr>
          <w:p>
            <w:pPr>
              <w:spacing w:after="0"/>
              <w:rPr>
                <w:sz w:val="1"/>
                <w:szCs w:val="1"/>
                <w:color w:val="auto"/>
              </w:rPr>
            </w:pPr>
          </w:p>
        </w:tc>
      </w:tr>
      <w:tr>
        <w:trPr>
          <w:trHeight w:val="188"/>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covered year end</w:t>
            </w: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48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+/-change in fair value (from prior year end to covered</w:t>
            </w:r>
          </w:p>
        </w:tc>
        <w:tc>
          <w:tcPr>
            <w:tcW w:w="110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year end) of equity awards granted in prior years that are</w:t>
            </w:r>
          </w:p>
        </w:tc>
        <w:tc>
          <w:tcPr>
            <w:tcW w:w="110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1,812,879</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7,626,620</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247,426</w:t>
            </w:r>
          </w:p>
        </w:tc>
        <w:tc>
          <w:tcPr>
            <w:tcW w:w="9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(389,707)</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(1,181,515)</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outstanding and unvested as of the covered year end</w:t>
            </w:r>
          </w:p>
        </w:tc>
        <w:tc>
          <w:tcPr>
            <w:tcW w:w="110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+vesting date fair value of equity awards granted and</w:t>
            </w: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vested in the covered year end</w:t>
            </w:r>
          </w:p>
        </w:tc>
        <w:tc>
          <w:tcPr>
            <w:tcW w:w="11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4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 change in fair value (from prior year end to vesting</w:t>
            </w:r>
          </w:p>
        </w:tc>
        <w:tc>
          <w:tcPr>
            <w:tcW w:w="110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date) of equity awards granted in prior years that vested in</w:t>
            </w:r>
          </w:p>
        </w:tc>
        <w:tc>
          <w:tcPr>
            <w:tcW w:w="110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1,808,501</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1,342,928</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207,275</w:t>
            </w:r>
          </w:p>
        </w:tc>
        <w:tc>
          <w:tcPr>
            <w:tcW w:w="980" w:type="dxa"/>
            <w:vAlign w:val="bottom"/>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(211,992)</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(419,568)</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the covered year</w:t>
            </w:r>
          </w:p>
        </w:tc>
        <w:tc>
          <w:tcPr>
            <w:tcW w:w="110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prior year end of equity awards granted in</w:t>
            </w: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(777,122)</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(6,062,096)</w:t>
            </w:r>
          </w:p>
        </w:tc>
        <w:tc>
          <w:tcPr>
            <w:tcW w:w="0" w:type="dxa"/>
            <w:vAlign w:val="bottom"/>
          </w:tcPr>
          <w:p>
            <w:pPr>
              <w:spacing w:after="0"/>
              <w:rPr>
                <w:sz w:val="1"/>
                <w:szCs w:val="1"/>
                <w:color w:val="auto"/>
              </w:rPr>
            </w:pPr>
          </w:p>
        </w:tc>
      </w:tr>
      <w:tr>
        <w:trPr>
          <w:trHeight w:val="121"/>
        </w:trPr>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prior years that failed to vest in the covered year</w:t>
            </w:r>
          </w:p>
        </w:tc>
        <w:tc>
          <w:tcPr>
            <w:tcW w:w="11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+dividends or earnings paid on equity awards in the</w:t>
            </w:r>
          </w:p>
        </w:tc>
        <w:tc>
          <w:tcPr>
            <w:tcW w:w="1100" w:type="dxa"/>
            <w:vAlign w:val="bottom"/>
            <w:vMerge w:val="restart"/>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3480" w:type="dxa"/>
            <w:vAlign w:val="bottom"/>
            <w:vMerge w:val="restart"/>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covered year</w:t>
            </w:r>
          </w:p>
        </w:tc>
        <w:tc>
          <w:tcPr>
            <w:tcW w:w="1100" w:type="dxa"/>
            <w:vAlign w:val="bottom"/>
            <w:vMerge w:val="continue"/>
            <w:shd w:val="clear" w:color="auto" w:fill="DBDBDB"/>
          </w:tcPr>
          <w:p>
            <w:pPr>
              <w:spacing w:after="0"/>
              <w:rPr>
                <w:sz w:val="9"/>
                <w:szCs w:val="9"/>
                <w:color w:val="auto"/>
              </w:rPr>
            </w:pPr>
          </w:p>
        </w:tc>
        <w:tc>
          <w:tcPr>
            <w:tcW w:w="1000" w:type="dxa"/>
            <w:vAlign w:val="bottom"/>
            <w:vMerge w:val="continue"/>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980" w:type="dxa"/>
            <w:vAlign w:val="bottom"/>
            <w:vMerge w:val="continue"/>
            <w:shd w:val="clear" w:color="auto" w:fill="DBDBDB"/>
          </w:tcPr>
          <w:p>
            <w:pPr>
              <w:spacing w:after="0"/>
              <w:rPr>
                <w:sz w:val="9"/>
                <w:szCs w:val="9"/>
                <w:color w:val="auto"/>
              </w:rPr>
            </w:pPr>
          </w:p>
        </w:tc>
        <w:tc>
          <w:tcPr>
            <w:tcW w:w="88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480" w:type="dxa"/>
            <w:vAlign w:val="bottom"/>
            <w:vMerge w:val="continue"/>
            <w:shd w:val="clear" w:color="auto" w:fill="DBDBDB"/>
          </w:tcPr>
          <w:p>
            <w:pPr>
              <w:spacing w:after="0"/>
              <w:rPr>
                <w:sz w:val="7"/>
                <w:szCs w:val="7"/>
                <w:color w:val="auto"/>
              </w:rPr>
            </w:pPr>
          </w:p>
        </w:tc>
        <w:tc>
          <w:tcPr>
            <w:tcW w:w="1100" w:type="dxa"/>
            <w:vAlign w:val="bottom"/>
            <w:shd w:val="clear" w:color="auto" w:fill="DBDBDB"/>
          </w:tcPr>
          <w:p>
            <w:pPr>
              <w:spacing w:after="0"/>
              <w:rPr>
                <w:sz w:val="7"/>
                <w:szCs w:val="7"/>
                <w:color w:val="auto"/>
              </w:rPr>
            </w:pPr>
          </w:p>
        </w:tc>
        <w:tc>
          <w:tcPr>
            <w:tcW w:w="100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980" w:type="dxa"/>
            <w:vAlign w:val="bottom"/>
            <w:shd w:val="clear" w:color="auto" w:fill="DBDBDB"/>
          </w:tcPr>
          <w:p>
            <w:pPr>
              <w:spacing w:after="0"/>
              <w:rPr>
                <w:sz w:val="7"/>
                <w:szCs w:val="7"/>
                <w:color w:val="auto"/>
              </w:rPr>
            </w:pPr>
          </w:p>
        </w:tc>
        <w:tc>
          <w:tcPr>
            <w:tcW w:w="8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Amount Added or Deducted from Summary</w:t>
            </w: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2,693,036</w:t>
            </w: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8,831,836</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634,702</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(3,619,130)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(15,721,430)</w:t>
            </w:r>
          </w:p>
        </w:tc>
        <w:tc>
          <w:tcPr>
            <w:tcW w:w="0" w:type="dxa"/>
            <w:vAlign w:val="bottom"/>
          </w:tcPr>
          <w:p>
            <w:pPr>
              <w:spacing w:after="0"/>
              <w:rPr>
                <w:sz w:val="1"/>
                <w:szCs w:val="1"/>
                <w:color w:val="auto"/>
              </w:rPr>
            </w:pPr>
          </w:p>
        </w:tc>
      </w:tr>
      <w:tr>
        <w:trPr>
          <w:trHeight w:val="107"/>
        </w:trPr>
        <w:tc>
          <w:tcPr>
            <w:tcW w:w="3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Compensation Table Total</w:t>
            </w:r>
          </w:p>
        </w:tc>
        <w:tc>
          <w:tcPr>
            <w:tcW w:w="11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480" w:type="dxa"/>
            <w:vAlign w:val="bottom"/>
            <w:tcBorders>
              <w:bottom w:val="single" w:sz="8" w:color="DBDBDB"/>
            </w:tcBorders>
            <w:vMerge w:val="continue"/>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4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100" w:type="dxa"/>
            <w:vAlign w:val="bottom"/>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6,852,767</w:t>
            </w:r>
          </w:p>
        </w:tc>
        <w:tc>
          <w:tcPr>
            <w:tcW w:w="100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14,275,890</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4,355,570</w:t>
            </w:r>
          </w:p>
        </w:tc>
        <w:tc>
          <w:tcPr>
            <w:tcW w:w="980" w:type="dxa"/>
            <w:vAlign w:val="bottom"/>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1,612,583</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(5,961,079)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20" w:right="319" w:hanging="328"/>
        <w:spacing w:after="0" w:line="245" w:lineRule="auto"/>
        <w:tabs>
          <w:tab w:leader="none" w:pos="57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peer group for the purposes of this disclosure includes Trupanion Inc., Kinsale Capital Group Inc., Lemonade Inc., Goosehead Insurance Inc., Palomar Holdings Inc. and Kemper Corp, which are the issuers included in the peer group depicted in our performance graph. Total Stockholder Return for the Company and the peer group was calculated as the yearly percentage change in cumulative Total Stockholder Return based on a deemed fixed investment of $100 at market close on December 31, 2020 and in accordance with Items 201(e) and 402(v) of Regulation S-K. Because fiscal years are presented in the table in reverse chronological order (from top to bottom), the table should be read from bottom to top for purposes of understanding cumulative returns over time.</w:t>
      </w:r>
    </w:p>
    <w:p>
      <w:pPr>
        <w:spacing w:after="0" w:line="51" w:lineRule="exact"/>
        <w:rPr>
          <w:rFonts w:ascii="Times New Roman" w:cs="Times New Roman" w:eastAsia="Times New Roman" w:hAnsi="Times New Roman"/>
          <w:sz w:val="14"/>
          <w:szCs w:val="14"/>
          <w:color w:val="auto"/>
        </w:rPr>
      </w:pPr>
    </w:p>
    <w:p>
      <w:pPr>
        <w:ind w:left="620" w:right="519" w:hanging="328"/>
        <w:spacing w:after="0" w:line="262" w:lineRule="auto"/>
        <w:tabs>
          <w:tab w:leader="none" w:pos="5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as defined in the</w:t>
      </w:r>
      <w:r>
        <w:rPr>
          <w:rFonts w:ascii="Times New Roman" w:cs="Times New Roman" w:eastAsia="Times New Roman" w:hAnsi="Times New Roman"/>
          <w:sz w:val="14"/>
          <w:szCs w:val="14"/>
          <w:i w:val="1"/>
          <w:iCs w:val="1"/>
          <w:color w:val="auto"/>
        </w:rPr>
        <w:t xml:space="preserve">“Compensation Discussion and Analysis— 2025 Annual Cash Incentive Performance Award Measures” </w:t>
      </w:r>
      <w:r>
        <w:rPr>
          <w:rFonts w:ascii="Times New Roman" w:cs="Times New Roman" w:eastAsia="Times New Roman" w:hAnsi="Times New Roman"/>
          <w:sz w:val="14"/>
          <w:szCs w:val="14"/>
          <w:color w:val="auto"/>
        </w:rPr>
        <w:t>section above.</w:t>
      </w:r>
    </w:p>
    <w:p>
      <w:pPr>
        <w:spacing w:after="0" w:line="382" w:lineRule="exact"/>
        <w:rPr>
          <w:sz w:val="20"/>
          <w:szCs w:val="20"/>
          <w:color w:val="auto"/>
        </w:rPr>
      </w:pPr>
    </w:p>
    <w:p>
      <w:pPr>
        <w:ind w:left="300" w:right="299"/>
        <w:spacing w:after="0" w:line="250" w:lineRule="auto"/>
        <w:rPr>
          <w:sz w:val="20"/>
          <w:szCs w:val="20"/>
          <w:color w:val="auto"/>
        </w:rPr>
      </w:pPr>
      <w:r>
        <w:rPr>
          <w:rFonts w:ascii="Times New Roman" w:cs="Times New Roman" w:eastAsia="Times New Roman" w:hAnsi="Times New Roman"/>
          <w:sz w:val="18"/>
          <w:szCs w:val="18"/>
          <w:color w:val="auto"/>
        </w:rPr>
        <w:t>The following list (the “Tabular List”) provides the performance measures that we believe represent the most important measures we used to link compensation actually paid to our named executive officers for fiscal year 2025 to our performance: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Tabular List</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We use Adjusted EBITDA as an internal performance measure in the management of our</w:t>
      </w:r>
    </w:p>
    <w:p>
      <w:pPr>
        <w:spacing w:after="0" w:line="17" w:lineRule="exact"/>
        <w:rPr>
          <w:sz w:val="20"/>
          <w:szCs w:val="20"/>
          <w:color w:val="auto"/>
        </w:rPr>
      </w:pPr>
    </w:p>
    <w:p>
      <w:pPr>
        <w:ind w:left="3100" w:right="499" w:hanging="2753"/>
        <w:spacing w:after="0" w:line="258" w:lineRule="auto"/>
        <w:tabs>
          <w:tab w:leader="none" w:pos="3080" w:val="left"/>
        </w:tabs>
        <w:rPr>
          <w:sz w:val="20"/>
          <w:szCs w:val="20"/>
          <w:color w:val="auto"/>
        </w:rPr>
      </w:pPr>
      <w:r>
        <w:rPr>
          <w:rFonts w:ascii="Times New Roman" w:cs="Times New Roman" w:eastAsia="Times New Roman" w:hAnsi="Times New Roman"/>
          <w:sz w:val="14"/>
          <w:szCs w:val="14"/>
          <w:color w:val="auto"/>
        </w:rPr>
        <w:t>Adjusted EBITDA</w:t>
      </w:r>
      <w:r>
        <w:rPr>
          <w:sz w:val="20"/>
          <w:szCs w:val="20"/>
          <w:color w:val="auto"/>
        </w:rPr>
        <w:tab/>
      </w:r>
      <w:r>
        <w:rPr>
          <w:rFonts w:ascii="Times New Roman" w:cs="Times New Roman" w:eastAsia="Times New Roman" w:hAnsi="Times New Roman"/>
          <w:sz w:val="14"/>
          <w:szCs w:val="14"/>
          <w:color w:val="auto"/>
        </w:rPr>
        <w:t>operations because we believe it provides management and other users of our financial information useful insight into our results of operations and underlying business performance.</w:t>
      </w:r>
    </w:p>
    <w:p>
      <w:pPr>
        <w:sectPr>
          <w:pgSz w:w="11900" w:h="16838" w:orient="portrait"/>
          <w:cols w:equalWidth="0" w:num="1">
            <w:col w:w="9019"/>
          </w:cols>
          <w:pgMar w:left="1440" w:top="1440" w:right="1440" w:bottom="1440" w:gutter="0" w:footer="0" w:header="0"/>
        </w:sectPr>
      </w:pP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Gross Accident Period Loss Ratio</w:t>
      </w:r>
    </w:p>
    <w:p>
      <w:pPr>
        <w:spacing w:after="0" w:line="3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Policies In Force Growth</w:t>
      </w:r>
    </w:p>
    <w:p>
      <w:pPr>
        <w:spacing w:after="0" w:line="20" w:lineRule="exact"/>
        <w:rPr>
          <w:sz w:val="20"/>
          <w:szCs w:val="20"/>
          <w:color w:val="auto"/>
        </w:rPr>
      </w:pPr>
      <w:r>
        <w:rPr>
          <w:sz w:val="20"/>
          <w:szCs w:val="20"/>
          <w:color w:val="auto"/>
        </w:rPr>
        <w:br w:type="column"/>
      </w:r>
    </w:p>
    <w:p>
      <w:pPr>
        <w:ind w:right="799"/>
        <w:spacing w:after="0" w:line="281" w:lineRule="auto"/>
        <w:rPr>
          <w:sz w:val="20"/>
          <w:szCs w:val="20"/>
          <w:color w:val="auto"/>
        </w:rPr>
      </w:pPr>
      <w:r>
        <w:rPr>
          <w:rFonts w:ascii="Times New Roman" w:cs="Times New Roman" w:eastAsia="Times New Roman" w:hAnsi="Times New Roman"/>
          <w:sz w:val="14"/>
          <w:szCs w:val="14"/>
          <w:color w:val="auto"/>
        </w:rPr>
        <w:t>We view gross accident period loss ratio as the best measure of the impact of pricing and underwriting actions.</w:t>
      </w:r>
    </w:p>
    <w:p>
      <w:pPr>
        <w:spacing w:after="0" w:line="1" w:lineRule="exact"/>
        <w:rPr>
          <w:sz w:val="20"/>
          <w:szCs w:val="20"/>
          <w:color w:val="auto"/>
        </w:rPr>
      </w:pPr>
    </w:p>
    <w:p>
      <w:pPr>
        <w:ind w:right="559"/>
        <w:spacing w:after="0" w:line="255" w:lineRule="auto"/>
        <w:rPr>
          <w:sz w:val="20"/>
          <w:szCs w:val="20"/>
          <w:color w:val="auto"/>
        </w:rPr>
      </w:pPr>
      <w:r>
        <w:rPr>
          <w:rFonts w:ascii="Times New Roman" w:cs="Times New Roman" w:eastAsia="Times New Roman" w:hAnsi="Times New Roman"/>
          <w:sz w:val="14"/>
          <w:szCs w:val="14"/>
          <w:color w:val="auto"/>
        </w:rPr>
        <w:t>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200" w:lineRule="exact"/>
        <w:rPr>
          <w:sz w:val="20"/>
          <w:szCs w:val="20"/>
          <w:color w:val="auto"/>
        </w:rPr>
      </w:pPr>
    </w:p>
    <w:p>
      <w:pPr>
        <w:sectPr>
          <w:pgSz w:w="11900" w:h="16838" w:orient="portrait"/>
          <w:cols w:equalWidth="0" w:num="2">
            <w:col w:w="2380" w:space="720"/>
            <w:col w:w="5919"/>
          </w:cols>
          <w:pgMar w:left="1440" w:top="1440" w:right="1440" w:bottom="1440" w:gutter="0" w:footer="0" w:header="0"/>
          <w:type w:val="continuous"/>
        </w:sectPr>
      </w:pPr>
    </w:p>
    <w:p>
      <w:pPr>
        <w:spacing w:after="0" w:line="106" w:lineRule="exact"/>
        <w:rPr>
          <w:sz w:val="20"/>
          <w:szCs w:val="20"/>
          <w:color w:val="auto"/>
        </w:rPr>
      </w:pPr>
    </w:p>
    <w:p>
      <w:pPr>
        <w:ind w:left="300" w:right="319"/>
        <w:spacing w:after="0" w:line="245" w:lineRule="auto"/>
        <w:rPr>
          <w:sz w:val="20"/>
          <w:szCs w:val="20"/>
          <w:color w:val="auto"/>
        </w:rPr>
      </w:pPr>
      <w:r>
        <w:rPr>
          <w:rFonts w:ascii="Times New Roman" w:cs="Times New Roman" w:eastAsia="Times New Roman" w:hAnsi="Times New Roman"/>
          <w:sz w:val="18"/>
          <w:szCs w:val="18"/>
          <w:color w:val="auto"/>
        </w:rPr>
        <w:t>Total Stockholder Return (“TSR”) is intended to reflect the change in value of a $100 investment made on December 31, 2020. Both cumulative TSR and the noted compensation reflect the full period between December 31, 2020 and December 31, 2025 . The chart below demonstrates the relationship between Root’s TSR and Compensation Actually Paid to Mr. Timm and our Non-PEO NEOs.</w:t>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019"/>
          </w:cols>
          <w:pgMar w:left="1440" w:top="1440" w:right="1440" w:bottom="1440"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right="539"/>
        <w:spacing w:after="0" w:line="296" w:lineRule="auto"/>
        <w:rPr>
          <w:sz w:val="20"/>
          <w:szCs w:val="20"/>
          <w:color w:val="auto"/>
        </w:rPr>
      </w:pPr>
      <w:r>
        <w:rPr>
          <w:rFonts w:ascii="Times New Roman" w:cs="Times New Roman" w:eastAsia="Times New Roman" w:hAnsi="Times New Roman"/>
          <w:sz w:val="17"/>
          <w:szCs w:val="17"/>
          <w:color w:val="auto"/>
        </w:rPr>
        <w:t>The Compensation A ctually Paid to Mr. Timm and our other Non-PEO NEOs is generally correlated with our net income or loss over the period January 1, 2021 through December 31, 2025 as demonstrated in the chart below.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19"/>
          </w:cols>
          <w:pgMar w:left="1440" w:top="1440" w:right="1440" w:bottom="1440" w:gutter="0" w:footer="0" w:header="0"/>
          <w:type w:val="continuous"/>
        </w:sectPr>
      </w:pPr>
    </w:p>
    <w:bookmarkStart w:id="58" w:name="page59"/>
    <w:bookmarkEnd w:id="58"/>
    <w:p>
      <w:pPr>
        <w:ind w:left="300" w:right="399"/>
        <w:spacing w:after="0" w:line="29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The Compensation Actually Paid to Mr. Timm and our other Non-PEO NEOs is generally correlated with our Adjusted EBITDA over the period January 1, 2021 through December 31, 2025 as demonstrated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Policy Regarding Options and Similar Equity Awards</w:t>
      </w:r>
    </w:p>
    <w:p>
      <w:pPr>
        <w:spacing w:after="0" w:line="233"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does not currently grant awards of stock options, stock appreciation rights or similar option-like equity awards. Accordingly, the Company does not have a specific policy or practice on the timing of grants of such awards in relation to the disclosure of material nonpublic information . In the event the Company determines to grant awards of stock options or similar equity awards in the future, the compensation committee will evaluate the appropriate steps to take in relation to the foregoing.</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019"/>
          </w:cols>
          <w:pgMar w:left="1440" w:top="1228" w:right="1440" w:bottom="1440" w:gutter="0" w:footer="0" w:header="0"/>
          <w:type w:val="continuous"/>
        </w:sectPr>
      </w:pPr>
    </w:p>
    <w:bookmarkStart w:id="59" w:name="page60"/>
    <w:bookmarkEnd w:id="59"/>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Employee Benefit and Stock Plans</w:t>
      </w:r>
    </w:p>
    <w:p>
      <w:pPr>
        <w:spacing w:after="0" w:line="273"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We believe that our ability to grant equity awards is a valuable and necessary compensation tool that aligns the long-term financial interests of our employees, consultants and directors with the financial interests of our stockholders. In addition, we believe that our ability to grant RSUs, stock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70"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October 2020, our board of directors adopted, and our stockholders approved, our 2020 Plan as a successor to our 2015 Equity Incentive Plan (the “2015 Plan”). The 2020 Plan provides for the grant of incentive stock options (“ISOs”) within the meaning of Section 422 of the Code to employees, including employees of any of our parent or subsidiary corporations, and for the grant of nonstatutory stock options (“NSOs”), stock appreciation rights, restricted stock awards, restricted stock unit awards, performance awards and other forms of awards to employees, directors and consultants, including employees and consultants of our affiliates.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The aggregate number of shares of our Class A common stock that may be issued under our</w:t>
      </w:r>
    </w:p>
    <w:p>
      <w:pPr>
        <w:spacing w:after="0" w:line="29"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2020 Plan adjusted proportionately following our August 12, 2022, 1-for-18 reverse stock split, was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4,890,299</w:t>
            </w:r>
          </w:p>
        </w:tc>
      </w:tr>
    </w:tbl>
    <w:p>
      <w:pPr>
        <w:ind w:left="300" w:right="339"/>
        <w:spacing w:after="0" w:line="264" w:lineRule="auto"/>
        <w:rPr>
          <w:sz w:val="20"/>
          <w:szCs w:val="20"/>
          <w:color w:val="auto"/>
        </w:rPr>
      </w:pPr>
      <w:r>
        <w:rPr>
          <w:rFonts w:ascii="Times New Roman" w:cs="Times New Roman" w:eastAsia="Times New Roman" w:hAnsi="Times New Roman"/>
          <w:sz w:val="17"/>
          <w:szCs w:val="17"/>
          <w:color w:val="auto"/>
        </w:rPr>
        <w:t>shares on December 31, 2025. In addition, the number of shares of our Class A common stock reserved for issuance under our 2020 Plan automatically increases on January 1 of each year, from January 1, 2021 through January 1, 2030, in an amount equal to (1) 4% of the total number of shares of our common stock (both Class A and Class B) outstanding on December 31 of the preceding year or (2) a lesser number of shares of our Class A common stock determined by our board of directors prior to the date of the increase. On January 1, 2026, the total number of shares</w:t>
      </w:r>
    </w:p>
    <w:p>
      <w:pPr>
        <w:spacing w:after="0" w:line="3" w:lineRule="exact"/>
        <w:rPr>
          <w:sz w:val="20"/>
          <w:szCs w:val="20"/>
          <w:color w:val="auto"/>
        </w:rPr>
      </w:pPr>
    </w:p>
    <w:p>
      <w:pPr>
        <w:ind w:left="300" w:right="579"/>
        <w:spacing w:after="0" w:line="255" w:lineRule="auto"/>
        <w:rPr>
          <w:sz w:val="20"/>
          <w:szCs w:val="20"/>
          <w:color w:val="auto"/>
        </w:rPr>
      </w:pPr>
      <w:r>
        <w:rPr>
          <w:rFonts w:ascii="Times New Roman" w:cs="Times New Roman" w:eastAsia="Times New Roman" w:hAnsi="Times New Roman"/>
          <w:sz w:val="18"/>
          <w:szCs w:val="18"/>
          <w:color w:val="auto"/>
        </w:rPr>
        <w:t>available for issuance under the 2020 Plan was increased by 621,626 shares pursuant to this provision. The maximum number of shares of our Class A common stock that may be issued on the exercise of ISOs under our 2020 Plan following the reverse stock split is 6,666,666 shares.</w:t>
      </w:r>
    </w:p>
    <w:p>
      <w:pPr>
        <w:spacing w:after="0" w:line="184"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following applies to stock awards under the 2020 Plan in the event of a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(as defined in the 2020 Plan), unless otherwise provided in a participant’s stock award agreement or other written agreement with us or one of our affiliates or unless otherwise expressly provided by the plan administrator at the time of grant.</w:t>
      </w:r>
    </w:p>
    <w:p>
      <w:pPr>
        <w:spacing w:after="0" w:line="182"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In the event of a corporate transaction, any stock awards outstanding under the 2020 Plan may be assumed, continued or substituted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such stock awards, then (1)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(2)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82"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per share amount payable to holders of Class A common stock in connection with the corporate transaction, over (2) any per share exercise price payable by such holder, if applicable. In addition, any escrow, holdback, earn out or similar provisions</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019"/>
          </w:cols>
          <w:pgMar w:left="1440" w:top="1215" w:right="1440" w:bottom="1440" w:gutter="0" w:footer="0" w:header="0"/>
          <w:type w:val="continuous"/>
        </w:sectPr>
      </w:pPr>
    </w:p>
    <w:bookmarkStart w:id="60" w:name="page61"/>
    <w:bookmarkEnd w:id="60"/>
    <w:p>
      <w:pPr>
        <w:ind w:left="300" w:right="5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in the definitive agreement for the corporate transaction may apply to such payment to the same extent and in the same manner as such provisions apply to the holders of our Class A common stock.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October 2020, our board of directors adopted, and our stockholders approved, the 2020 Employee Stock Purchase Plan (“ESPP”).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Employees may have to satisfy one or more of the following service requirements before participating in the ESPP, as determined by 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8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aggregate number of shares of our Class A common stock that may be issued under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996,930 shares on December 31, 2025 . This includes 277,777 shares of our Class A common stock originally issuable under the ESPP, adjusted proportionately following our reverse stock split, and annual increases. The number of shares of our Class A common stock reserved for issuance automatically increases on January 1 of each year, from January 1, 2021 through January 1, 2030, by the lesser of (1) 1% of the total number of shares of our common stock (both Class A and Class B) outstanding on December 31 of the preceding calendar year and (2) 416,666 shares of our Class A common stock, except that, prior to the date of any such increase, our board of directors may determine that such increase will be less than the amount set forth in clauses (1) and (2). On January 1, 2026, the total number of shares available for issuance under the ESPP was increased by 155,406 shares pursuant to this provision.</w:t>
      </w:r>
    </w:p>
    <w:p>
      <w:pPr>
        <w:spacing w:after="0" w:line="185"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corporate transaction (as defined in the ESPP), any then-outstanding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our stock under the ESPP may be assumed, continued or substituted by any surviving or acquiring entity (or its parent company). If the surviving or acquiring entity (or its parent company) elects not to assume, continue or substitute such purchase rights, then the participants’ accumulated payroll contributions will be used to purchase shares of our Class A common stock within 10 business days prior to such corporate transaction, and such purchase rights will terminate immediately.</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Equity Incentive Plan</w:t>
      </w:r>
    </w:p>
    <w:p>
      <w:pPr>
        <w:spacing w:after="0" w:line="2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March 2015, the board of directors of our subsidiary Caret Holdings, Inc. adopted, and its stockholders approved, our 2015 Plan. In August 2019, our board of directors adopted the 2015 Plan and assumed the outstanding obligations thereunder, such that each outstanding option to purchase shares of the common stock of Caret Holdings, Inc. was converted into an option to purchase an equal number of shares of our Class B common stock subject to the same terms and conditions set forth in the 2015 Plan. The 2015 Plan has been periodically amended. The 2015 Plan provides for the grant of ISOs to our employees and any of our subsidiary corporations’ employees and for the grant of NSOs, restricted stock awards or restricted stock units to our employees, directors and consultants, and any of our affiliates’ employees and consultants. The 2015 Plan was terminated in connection with our initial public offering and no further grants may be made under the 2015 Plan. However, all outstanding stock awards granted under the 2015 Plan continue to be subject to the terms and conditions of the 2015 Plan and the agreements evidencing such stock awards.</w:t>
      </w:r>
    </w:p>
    <w:p>
      <w:pPr>
        <w:spacing w:after="0" w:line="284" w:lineRule="exact"/>
        <w:rPr>
          <w:sz w:val="20"/>
          <w:szCs w:val="20"/>
          <w:color w:val="auto"/>
        </w:rPr>
      </w:pPr>
    </w:p>
    <w:p>
      <w:pPr>
        <w:ind w:left="300" w:right="31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In the event of (1) our dissolution or liquidation or (2) an “acquisition” (as defined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2015 Plan), outstanding awards may be assumed, converted or replaced by the successor or acquiring corporation (if any). In the alternative, the successor or acquiring corporation may substitute equivalent awards or provide substantially similar consideration to participants as was provided to our stockholders. The successor or acquiring corporation may also substitute awards by issuing substantially similar shares or other property subject to repurchase</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019"/>
          </w:cols>
          <w:pgMar w:left="1440" w:top="1228" w:right="1440" w:bottom="1440" w:gutter="0" w:footer="0" w:header="0"/>
          <w:type w:val="continuous"/>
        </w:sectPr>
      </w:pPr>
    </w:p>
    <w:bookmarkStart w:id="61" w:name="page62"/>
    <w:bookmarkEnd w:id="61"/>
    <w:p>
      <w:pPr>
        <w:ind w:left="300" w:right="51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restrictions and other provisions no less favorable to the participant than those which applied immediately prior to the transaction. If such successor or acquiring corporation (if any) does not assume, convert, replace or substitute awards, then the vesting of such awards will accelerate and options will become exercisable in full prior to the consummation of such event, and if such options are not exercised prior to the consummation of the corporate transaction, they will terminate.</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Equity Compensation Plan Information</w:t>
      </w:r>
    </w:p>
    <w:p>
      <w:pPr>
        <w:spacing w:after="0" w:line="246"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7"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75"/>
        </w:trPr>
        <w:tc>
          <w:tcPr>
            <w:tcW w:w="34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76"/>
        </w:trPr>
        <w:tc>
          <w:tcPr>
            <w:tcW w:w="34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under equity</w:t>
            </w:r>
          </w:p>
        </w:tc>
      </w:tr>
      <w:tr>
        <w:trPr>
          <w:trHeight w:val="176"/>
        </w:trPr>
        <w:tc>
          <w:tcPr>
            <w:tcW w:w="34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62"/>
        </w:trPr>
        <w:tc>
          <w:tcPr>
            <w:tcW w:w="34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6"/>
        </w:trPr>
        <w:tc>
          <w:tcPr>
            <w:tcW w:w="34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r>
      <w:tr>
        <w:trPr>
          <w:trHeight w:val="180"/>
        </w:trPr>
        <w:tc>
          <w:tcPr>
            <w:tcW w:w="3440" w:type="dxa"/>
            <w:vAlign w:val="bottom"/>
            <w:tcBorders>
              <w:bottom w:val="single" w:sz="8" w:color="FF5715"/>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 (#)</w:t>
            </w:r>
          </w:p>
        </w:tc>
        <w:tc>
          <w:tcPr>
            <w:tcW w:w="152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 ($)</w:t>
            </w:r>
          </w:p>
        </w:tc>
        <w:tc>
          <w:tcPr>
            <w:tcW w:w="16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 (#)</w:t>
            </w:r>
          </w:p>
        </w:tc>
      </w:tr>
      <w:tr>
        <w:trPr>
          <w:trHeight w:val="202"/>
        </w:trPr>
        <w:tc>
          <w:tcPr>
            <w:tcW w:w="344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15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r>
      <w:tr>
        <w:trPr>
          <w:trHeight w:val="203"/>
        </w:trPr>
        <w:tc>
          <w:tcPr>
            <w:tcW w:w="344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holders:</w:t>
            </w:r>
          </w:p>
        </w:tc>
        <w:tc>
          <w:tcPr>
            <w:tcW w:w="15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r>
      <w:tr>
        <w:trPr>
          <w:trHeight w:val="230"/>
        </w:trPr>
        <w:tc>
          <w:tcPr>
            <w:tcW w:w="3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2015 Equity Incentive Plan </w:t>
            </w:r>
            <w:r>
              <w:rPr>
                <w:rFonts w:ascii="Times New Roman" w:cs="Times New Roman" w:eastAsia="Times New Roman" w:hAnsi="Times New Roman"/>
                <w:sz w:val="18"/>
                <w:szCs w:val="18"/>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105,160</w:t>
            </w:r>
          </w:p>
        </w:tc>
        <w:tc>
          <w:tcPr>
            <w:tcW w:w="15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34.80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440" w:type="dxa"/>
            <w:vAlign w:val="bottom"/>
            <w:shd w:val="clear" w:color="auto" w:fill="DBDBDB"/>
          </w:tcPr>
          <w:p>
            <w:pPr>
              <w:ind w:left="320"/>
              <w:spacing w:after="0"/>
              <w:rPr>
                <w:sz w:val="20"/>
                <w:szCs w:val="20"/>
                <w:color w:val="auto"/>
              </w:rPr>
            </w:pPr>
            <w:r>
              <w:rPr>
                <w:rFonts w:ascii="Times New Roman" w:cs="Times New Roman" w:eastAsia="Times New Roman" w:hAnsi="Times New Roman"/>
                <w:sz w:val="16"/>
                <w:szCs w:val="16"/>
                <w:color w:val="auto"/>
              </w:rPr>
              <w:t xml:space="preserve">2020 Equity Incentive Plan </w:t>
            </w:r>
            <w:r>
              <w:rPr>
                <w:rFonts w:ascii="Times New Roman" w:cs="Times New Roman" w:eastAsia="Times New Roman" w:hAnsi="Times New Roman"/>
                <w:sz w:val="18"/>
                <w:szCs w:val="18"/>
                <w:color w:val="auto"/>
                <w:vertAlign w:val="superscript"/>
              </w:rPr>
              <w:t>(2)</w:t>
            </w:r>
          </w:p>
        </w:tc>
        <w:tc>
          <w:tcPr>
            <w:tcW w:w="15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1,224,988</w:t>
            </w:r>
          </w:p>
        </w:tc>
        <w:tc>
          <w:tcPr>
            <w:tcW w:w="1520" w:type="dxa"/>
            <w:vAlign w:val="bottom"/>
            <w:shd w:val="clear" w:color="auto" w:fill="DBDBDB"/>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1,800,160</w:t>
            </w:r>
          </w:p>
        </w:tc>
      </w:tr>
      <w:tr>
        <w:trPr>
          <w:trHeight w:val="229"/>
        </w:trPr>
        <w:tc>
          <w:tcPr>
            <w:tcW w:w="3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2020 Employee Stock Purchase Plan </w:t>
            </w:r>
            <w:r>
              <w:rPr>
                <w:rFonts w:ascii="Times New Roman" w:cs="Times New Roman" w:eastAsia="Times New Roman" w:hAnsi="Times New Roman"/>
                <w:sz w:val="18"/>
                <w:szCs w:val="18"/>
                <w:color w:val="auto"/>
                <w:vertAlign w:val="superscript"/>
              </w:rPr>
              <w:t>(3)</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996,930</w:t>
            </w:r>
          </w:p>
        </w:tc>
      </w:tr>
      <w:tr>
        <w:trPr>
          <w:trHeight w:val="216"/>
        </w:trPr>
        <w:tc>
          <w:tcPr>
            <w:tcW w:w="344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Equity compensation plans not approved by</w:t>
            </w:r>
          </w:p>
        </w:tc>
        <w:tc>
          <w:tcPr>
            <w:tcW w:w="150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r>
      <w:tr>
        <w:trPr>
          <w:trHeight w:val="203"/>
        </w:trPr>
        <w:tc>
          <w:tcPr>
            <w:tcW w:w="344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6"/>
                <w:szCs w:val="16"/>
                <w:color w:val="auto"/>
              </w:rPr>
              <w:t>security holders</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DBDBDB"/>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1,330,148</w:t>
            </w:r>
          </w:p>
        </w:tc>
        <w:tc>
          <w:tcPr>
            <w:tcW w:w="15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2,797,090</w:t>
            </w:r>
          </w:p>
        </w:tc>
      </w:tr>
    </w:tbl>
    <w:p>
      <w:pPr>
        <w:spacing w:after="0" w:line="139" w:lineRule="exact"/>
        <w:rPr>
          <w:sz w:val="20"/>
          <w:szCs w:val="20"/>
          <w:color w:val="auto"/>
        </w:rPr>
      </w:pPr>
    </w:p>
    <w:p>
      <w:pPr>
        <w:ind w:left="620" w:right="499" w:hanging="328"/>
        <w:spacing w:after="0" w:line="271" w:lineRule="auto"/>
        <w:tabs>
          <w:tab w:leader="none" w:pos="6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adoption of the 2020 Plan, no additional stock awards were granted under the 2015 Plan. Any shares becoming available under the 2015 Plan by repurchase, forfeiture, expiration or cancellation will become available for grant under the 2020 Plan. Column (a)</w:t>
      </w:r>
    </w:p>
    <w:p>
      <w:pPr>
        <w:ind w:left="620" w:right="499"/>
        <w:spacing w:after="0" w:line="283" w:lineRule="auto"/>
        <w:rPr>
          <w:sz w:val="20"/>
          <w:szCs w:val="20"/>
          <w:color w:val="auto"/>
        </w:rPr>
      </w:pPr>
      <w:r>
        <w:rPr>
          <w:rFonts w:ascii="Times New Roman" w:cs="Times New Roman" w:eastAsia="Times New Roman" w:hAnsi="Times New Roman"/>
          <w:sz w:val="14"/>
          <w:szCs w:val="14"/>
          <w:color w:val="auto"/>
        </w:rPr>
        <w:t>reflects 105,160 options not forfeited, cancelled or expired as of December 31, 2025 under the 2015 Plan and column (b) reflects the weighted-average exercise price of the options.</w:t>
      </w:r>
    </w:p>
    <w:p>
      <w:pPr>
        <w:spacing w:after="0" w:line="40" w:lineRule="exact"/>
        <w:rPr>
          <w:sz w:val="20"/>
          <w:szCs w:val="20"/>
          <w:color w:val="auto"/>
        </w:rPr>
      </w:pPr>
    </w:p>
    <w:p>
      <w:pPr>
        <w:ind w:left="620" w:right="359" w:hanging="328"/>
        <w:spacing w:after="0" w:line="265"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A common stock reserved for issuance under the 2020 Plan automatically increases on January 1 of each year, beginning on January 1, 2021 and continuing through and including January 1, 2030, by 4% of the total number of shares of our common stock outstanding on December 31 of the preceding calendar year or a lesser number of shares determined by our board of directors. Pursuant to the terms of the 2020 Plan, an additional 621,626 shares were added to the number of available shares effective January 1, 2026. Column (a) reflects 570,888 restricted stock units and 654,100 performance-based restricted stock units presented at target level of performance as of December 31, 2025 under the 2020 Plan. An additional 380,563 performance-based restricted stock units could vest if maximum performance is achieved. No amount is reported in column (b) as restricted stock units have no exercise price.</w:t>
      </w:r>
    </w:p>
    <w:p>
      <w:pPr>
        <w:spacing w:after="0" w:line="51" w:lineRule="exact"/>
        <w:rPr>
          <w:rFonts w:ascii="Times New Roman" w:cs="Times New Roman" w:eastAsia="Times New Roman" w:hAnsi="Times New Roman"/>
          <w:sz w:val="14"/>
          <w:szCs w:val="14"/>
          <w:color w:val="auto"/>
        </w:rPr>
      </w:pPr>
    </w:p>
    <w:p>
      <w:pPr>
        <w:ind w:left="620" w:right="319" w:hanging="328"/>
        <w:spacing w:after="0" w:line="271"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Class A common stock reserved for issuance under the ESPP automatically increases on January 1 of each year, beginning on January 1, 2021 and continuing through and including January 1, 2030, by the lesser of (i) 1% of the total number of shares of our common stock outstanding on December 31 of the preceding calendar year, (ii) 416,666 shares or (iii) such lesser number of shares determined by our board of directors. Pursuant to the terms of the ESPP, an additional 155,406 shares were added to the number of available shares effective January 1, 2026. No shares have been issued under this plan as of December 31, 2025.</w:t>
      </w:r>
    </w:p>
    <w:p>
      <w:pPr>
        <w:sectPr>
          <w:pgSz w:w="11900" w:h="16838" w:orient="portrait"/>
          <w:cols w:equalWidth="0" w:num="1">
            <w:col w:w="9019"/>
          </w:cols>
          <w:pgMar w:left="1440" w:top="12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019"/>
          </w:cols>
          <w:pgMar w:left="1440" w:top="1228" w:right="1440" w:bottom="1440" w:gutter="0" w:footer="0" w:header="0"/>
          <w:type w:val="continuous"/>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3 - APPROVAL, ON AN ADVISORY BASIS,</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t>OF OUR NAMED EXECUTIVE OFFICER COMPENSATION</w:t>
      </w:r>
    </w:p>
    <w:p>
      <w:pPr>
        <w:spacing w:after="0" w:line="226" w:lineRule="exact"/>
        <w:rPr>
          <w:sz w:val="20"/>
          <w:szCs w:val="20"/>
          <w:color w:val="auto"/>
        </w:rPr>
      </w:pPr>
    </w:p>
    <w:p>
      <w:pPr>
        <w:ind w:left="300" w:right="419"/>
        <w:spacing w:after="0" w:line="277" w:lineRule="auto"/>
        <w:rPr>
          <w:sz w:val="20"/>
          <w:szCs w:val="20"/>
          <w:color w:val="auto"/>
        </w:rPr>
      </w:pPr>
      <w:r>
        <w:rPr>
          <w:rFonts w:ascii="Times New Roman" w:cs="Times New Roman" w:eastAsia="Times New Roman" w:hAnsi="Times New Roman"/>
          <w:sz w:val="17"/>
          <w:szCs w:val="17"/>
          <w:color w:val="auto"/>
        </w:rPr>
        <w:t>Pursuant to Section 14A of the Exchange Act, we are conducting an advisory vote to approve the compensation of our named executive officers as disclosed in this Proxy Statement. At the 2022 Annual Meeting, the stockholders approved the board of directors’ proposal to seek advisory approvals of the compensation of our named executive officers on an annual basis. Accordingly, we expect that the next advisory vote, following the vote at the Annual Meeting, to approve the compensation of our named executive officers will take place at our 2027 Annual Meeting.</w:t>
      </w:r>
    </w:p>
    <w:p>
      <w:pPr>
        <w:spacing w:after="0" w:line="168"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Although this vote is nonbinding, the compensation committee values your opinion and expects to consider the voting results when making future decisions about named executive officer compensation.</w:t>
      </w:r>
    </w:p>
    <w:p>
      <w:pPr>
        <w:spacing w:after="0" w:line="162"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Stockholders may also contact management to provide input on named executive officer compensation matters at any time by contacting Investor Relations, by email at: ir@joinroot.com.</w:t>
      </w:r>
    </w:p>
    <w:p>
      <w:pPr>
        <w:spacing w:after="0" w:line="160"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the “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 section of this Proxy Statement, our compensation committee has effectively established an executive compensation program that reflects both Company and individual performance. Executive compensation decisions are made in order to attract, motivate, retain and reward talented executives, with a focus on delivering business results and value to our stockholders.</w:t>
      </w:r>
    </w:p>
    <w:p>
      <w:pPr>
        <w:spacing w:after="0" w:line="18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Our compensation committee consistently exercises care and discipline in determining executive compensation. Our board of directors urges you to review carefully the “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section that describes our compensation philosophy and programs in greater detail and to approve the following resolution:</w:t>
      </w:r>
    </w:p>
    <w:p>
      <w:pPr>
        <w:spacing w:after="0" w:line="176"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 xml:space="preserve">“RESOLVED, that the compensation paid to the Company’s named executive officers, as disclosed pursuant to Item 402 of Regulation S-K, including in the “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 compensation tables and accompanying narrative discussion, is hereby APPROVED.”</w:t>
      </w:r>
    </w:p>
    <w:p>
      <w:pPr>
        <w:spacing w:after="0" w:line="152" w:lineRule="exact"/>
        <w:rPr>
          <w:sz w:val="20"/>
          <w:szCs w:val="20"/>
          <w:color w:val="auto"/>
        </w:rPr>
      </w:pPr>
    </w:p>
    <w:p>
      <w:pPr>
        <w:ind w:left="1020" w:right="1059" w:firstLine="633"/>
        <w:spacing w:after="0" w:line="273" w:lineRule="auto"/>
        <w:rPr>
          <w:sz w:val="20"/>
          <w:szCs w:val="20"/>
          <w:color w:val="auto"/>
        </w:rPr>
      </w:pPr>
      <w:r>
        <w:rPr>
          <w:rFonts w:ascii="Times New Roman" w:cs="Times New Roman" w:eastAsia="Times New Roman" w:hAnsi="Times New Roman"/>
          <w:sz w:val="25"/>
          <w:szCs w:val="25"/>
          <w:b w:val="1"/>
          <w:bCs w:val="1"/>
          <w:color w:val="FF5715"/>
        </w:rPr>
        <w:t>OUR BOARD OF DIRECTORS RECOMMENDS A VOTE “FOR” THE APPROVAL, ON AN ADVISORY BASIS, OF OUR NAMED EXECUTIVE OFFICER COMPENSATION.</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19"/>
          </w:cols>
          <w:pgMar w:left="1440" w:top="1204" w:right="1440" w:bottom="1440" w:gutter="0" w:footer="0" w:header="0"/>
          <w:type w:val="continuous"/>
        </w:sectPr>
      </w:pPr>
    </w:p>
    <w:bookmarkStart w:id="63" w:name="page64"/>
    <w:bookmarkEnd w:id="63"/>
    <w:p>
      <w:pPr>
        <w:jc w:val="center"/>
        <w:ind w:left="300" w:right="379"/>
        <w:spacing w:after="0" w:line="278" w:lineRule="auto"/>
        <w:rPr>
          <w:sz w:val="20"/>
          <w:szCs w:val="20"/>
          <w:color w:val="auto"/>
        </w:rPr>
      </w:pPr>
      <w:r>
        <w:rPr>
          <w:rFonts w:ascii="Times New Roman" w:cs="Times New Roman" w:eastAsia="Times New Roman" w:hAnsi="Times New Roman"/>
          <w:sz w:val="24"/>
          <w:szCs w:val="24"/>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PROPOSAL 4 - APPROVAL OF AN AMENDMENT TO THE COMPANY’S AMENDED AND RESTATED CERTIFICATE OF INCORPORATION</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5"/>
          <w:szCs w:val="25"/>
          <w:b w:val="1"/>
          <w:bCs w:val="1"/>
          <w:color w:val="FF5715"/>
        </w:rPr>
        <w:t>TO ALLOW FOR THE EXCULPATION OF CERTAIN OFFICERS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56"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limits the monetary liability of our directors in certain circumstances pursuant to, and consistent with, Section 102(b)(7) of the General Corporation Law of the State of Delaware (the “DGCL”). Effective August 1, 2022, Section 102(b)(7) of the DGCL was amended to permit a corporation to include in its certificate of incorporation a provision eliminating or limiting monetary liability for certain officers, in addition to directors, for a breach of the duty of care in certain circumstances. As amended, Section 102(b)(7) of the DGCL permits exculpation only for direct claims brought by stockholders for breach of certain officers’ fiduciary duty of care, including class actions, and accordingly would not eliminate officers’ monetary liability for breach of fiduciary duty claims brought by the corporation itself or for derivative claims brought by stockholders in the name of the corporation. On April 11, 2026, the board of directors unanimously approved and declared advisable the proposed amendment to our Amended and Restated Certificate of Incorporation that would eliminate or limit the monetary liability of certain officers to the extent permitted by Section 102(b)(7) of the DGCL (the “Proposed Amendment”). The Proposed Amendment would not limit the liability of officers for any breach of the duty of loyalty to us or our stockholders, any acts or omissions not in good faith or which involve intentional misconduct or a knowing violation of the law, and any transaction from which the officer derived an improper personal benefit. The rationale for limiting the scope of our officers’ liability, as further described below, is to strike a balance between stockholders’ interest in accountability and their interest in the Company being able to recruit and retain quality officers to work on its behalf while also addressing rising litigation and insurance costs.</w:t>
      </w:r>
    </w:p>
    <w:p>
      <w:pPr>
        <w:spacing w:after="0" w:line="200" w:lineRule="exact"/>
        <w:rPr>
          <w:sz w:val="20"/>
          <w:szCs w:val="20"/>
          <w:color w:val="auto"/>
        </w:rPr>
      </w:pPr>
    </w:p>
    <w:p>
      <w:pPr>
        <w:spacing w:after="0" w:line="265"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The board of directors recommends that our stockholders approve and adopt the Proposed Amendment. Upon approval and adoption of this proposal, the Company will file a Certificate of Amendment to our Amended and Restated Certificate of Incorporation, in the form attached hereto as Appendix A, with the Secretary of State of the State of Delaware shortly after the Annual Meeting. The board of directors, in its sole discretion, reserves the right to abandon the Proposed Amendment at any time before it becomes effective, even if it is approved and adopted by the stockholders.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Proposed Amendment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Enhanced Ability to Attract and Retain Officers</w:t>
      </w:r>
    </w:p>
    <w:p>
      <w:pPr>
        <w:spacing w:after="0" w:line="25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of directors believes that amending our Amended and Restated Certificate of Incorporation to add the authorized liability protection for certain officers, consistent with the protection in our Amended and Restated Certificate of Incorporation currently afforded to our directors, is necessary to continue to attract and retain experienced and qualified officers. In accordance with the DGCL, the Proposed Amendment would only apply to certain officers, namely to a person who, during the course of conduct alleged to be wrongful, (i) is or was serving as our CEO, chief operating officer, chief financial officer, chief legal officer, chief accounting officer, controller, or treasurer, (ii) is or was identified in our public filings with the Securities and Exchange Commission as one of our most highly compensated executive officers, or (iii) has, by written agreement with the Company, consented to be identified as an officer for purposes of being subject to personal jurisdiction in Delaware. The Proposed Amendment would enable our officers to exercise their business judgment in furtherance of our stockholders’ interests without the potential distraction of risking personal liability. An officer’s role often requires the officer to make decisions on crucial and time-sensitive matters, which can create substantial risk of investigations, claims, actions, suits, or proceedings seeking to impose liability based on hindsight, especially in the current litigious environment and regardless of merit. Further, enhancing our ability to retain and attract experienced officers is in the best interests of the Company, and we should seek to assure such persons that exculpation under certain circumstances is available. We believe that failing to adopt the Proposed Amendment could impact our recruitment and retention of exceptional officer candidates who conclude that the potential exposure to liabilities, costs of defense, and other risks of proceedings exceeds the benefits of serving as an officer of the Company.</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019"/>
          </w:cols>
          <w:pgMar w:left="1440" w:top="1204" w:right="1440" w:bottom="1440" w:gutter="0" w:footer="0" w:header="0"/>
          <w:type w:val="continuous"/>
        </w:sectPr>
      </w:pPr>
    </w:p>
    <w:bookmarkStart w:id="64" w:name="page65"/>
    <w:bookmarkEnd w:id="64"/>
    <w:p>
      <w:pPr>
        <w:ind w:left="30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Addressing Rising Litigation and Insurance Costs for Stockholders</w:t>
      </w:r>
    </w:p>
    <w:p>
      <w:pPr>
        <w:spacing w:after="0" w:line="25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individual officers to avoid dismissal of such claims. The amendment to Section 102(b)(7) of the DGCL was adopted to address inconsistent treatment between officers and directors and address rising litigation and insurance costs for stockholders. Accordingly, the Proposed Amendment will align certain protections for certain of our officers to those currently available to our directors. Further, the Proposed Amendment will not negatively impact stockholder rights, considering the narrow class and type of claims for which officers’ liability would be exculpated. In addition, we are not proposing the Proposed Amendment in anticipation of any specific litigation; rather, we are proposing the Proposed Amendment on a prospective basis to help mitigate potential future harm to the Company and its stockholders.</w:t>
      </w:r>
    </w:p>
    <w:p>
      <w:pPr>
        <w:spacing w:after="0" w:line="230"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Accordingly, because of the benefits we believe would accrue to us and our stockholders in the form of an enhanced ability to attract and retain talented officers and to address rising litigation and insurance costs for stockholders, the board of directors recommends that our stockholders approve and adopt the Proposed Amendment as described herein.</w:t>
      </w:r>
    </w:p>
    <w:p>
      <w:pPr>
        <w:spacing w:after="0" w:line="207"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approval and adoption of the amendment to our Amended and Restated Certificate of Incorporation requires the affirmative vote of the holders of at least 66 2/3% of the shares outstanding and entitled to vote at the Annual Meeting.</w:t>
      </w:r>
    </w:p>
    <w:p>
      <w:pPr>
        <w:spacing w:after="0" w:line="152" w:lineRule="exact"/>
        <w:rPr>
          <w:sz w:val="20"/>
          <w:szCs w:val="20"/>
          <w:color w:val="auto"/>
        </w:rPr>
      </w:pPr>
    </w:p>
    <w:p>
      <w:pPr>
        <w:jc w:val="center"/>
        <w:ind w:left="300" w:right="399"/>
        <w:spacing w:after="0" w:line="279" w:lineRule="auto"/>
        <w:rPr>
          <w:sz w:val="20"/>
          <w:szCs w:val="20"/>
          <w:color w:val="auto"/>
        </w:rPr>
      </w:pPr>
      <w:r>
        <w:rPr>
          <w:rFonts w:ascii="Times New Roman" w:cs="Times New Roman" w:eastAsia="Times New Roman" w:hAnsi="Times New Roman"/>
          <w:sz w:val="24"/>
          <w:szCs w:val="24"/>
          <w:b w:val="1"/>
          <w:bCs w:val="1"/>
          <w:color w:val="FF5715"/>
        </w:rPr>
        <w:t>OUR BOARD OF DIRECTORS RECOMMENDS A VOTE “FOR” THE APPROVAL OF AN AMENDMENT TO THE COMPANY’S AMENDED AND RESTATED CERTIFICATE OF INCORPORATION, AS AMENDED, TO ALLOW FOR EXCULPATION OF CERTAIN OFFICERS.</w:t>
      </w:r>
    </w:p>
    <w:p>
      <w:pPr>
        <w:sectPr>
          <w:pgSz w:w="11900" w:h="16838" w:orient="portrait"/>
          <w:cols w:equalWidth="0" w:num="1">
            <w:col w:w="9019"/>
          </w:cols>
          <w:pgMar w:left="1440" w:top="12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9019"/>
          </w:cols>
          <w:pgMar w:left="1440" w:top="1226" w:right="1440"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SECURITY OWNERSHIP OF</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FF5715"/>
        </w:rPr>
        <w:t>CERTAIN BENEFICIAL OWNERS AND MANAGEMENT</w:t>
      </w:r>
    </w:p>
    <w:p>
      <w:pPr>
        <w:spacing w:after="0" w:line="226"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Class A and Class B common stock as of April 6, 2026, by:</w:t>
      </w:r>
    </w:p>
    <w:p>
      <w:pPr>
        <w:spacing w:after="0" w:line="162" w:lineRule="exact"/>
        <w:rPr>
          <w:sz w:val="20"/>
          <w:szCs w:val="20"/>
          <w:color w:val="auto"/>
        </w:rPr>
      </w:pPr>
    </w:p>
    <w:p>
      <w:pPr>
        <w:ind w:left="620" w:right="579" w:hanging="328"/>
        <w:spacing w:after="0" w:line="282"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be beneficial owners of more than five percent of our Class A common stock or Class B common stock;</w:t>
      </w:r>
    </w:p>
    <w:p>
      <w:pPr>
        <w:spacing w:after="0" w:line="16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set forth below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Applicable percentage ownership is based o n 14,015,900 shares of Class A common stock and  1,806,236 shares of</w:t>
      </w:r>
    </w:p>
    <w:p>
      <w:pPr>
        <w:spacing w:after="0" w:line="27"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18"/>
          <w:szCs w:val="18"/>
          <w:color w:val="auto"/>
        </w:rPr>
        <w:t>Class B common stock outstanding as of April 6, 2026 , and 14,053,096 shares of Series A preferred stock outstanding as of April 6, 2026 and entitled to 780,727 votes.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April 6, 2026 . In addition, we deemed to be outstanding all RSUs held by the person</w:t>
      </w:r>
    </w:p>
    <w:p>
      <w:pPr>
        <w:spacing w:after="0" w:line="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that would vest based on service-based vesting conditions within 60 days of April 6, 2026 . However, except as described above, we did not deem such shares outstanding for the purpose of computing the percentage ownership of any other person.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Root, Inc., 80 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Rich Street, Suite 500, Columbus, Ohio 43215.</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019"/>
          </w:cols>
          <w:pgMar w:left="1440" w:top="1204" w:right="1440" w:bottom="1440" w:gutter="0" w:footer="0" w:header="0"/>
          <w:type w:val="continuous"/>
        </w:sectPr>
      </w:pPr>
    </w:p>
    <w:bookmarkStart w:id="66" w:name="page67"/>
    <w:bookmarkEnd w:id="66"/>
    <w:tbl>
      <w:tblPr>
        <w:tblLayout w:type="fixed"/>
        <w:tblInd w:w="30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9"/>
        </w:trPr>
        <w:tc>
          <w:tcPr>
            <w:tcW w:w="4080" w:type="dxa"/>
            <w:vAlign w:val="bottom"/>
          </w:tcPr>
          <w:p>
            <w:pPr>
              <w:spacing w:after="0"/>
              <w:rPr>
                <w:sz w:val="16"/>
                <w:szCs w:val="16"/>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1980" w:type="dxa"/>
            <w:vAlign w:val="bottom"/>
            <w:tcBorders>
              <w:bottom w:val="single" w:sz="8" w:color="auto"/>
            </w:tcBorders>
            <w:gridSpan w:val="2"/>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8"/>
        </w:trPr>
        <w:tc>
          <w:tcPr>
            <w:tcW w:w="4080" w:type="dxa"/>
            <w:vAlign w:val="bottom"/>
          </w:tcPr>
          <w:p>
            <w:pPr>
              <w:spacing w:after="0"/>
              <w:rPr>
                <w:sz w:val="13"/>
                <w:szCs w:val="13"/>
                <w:color w:val="auto"/>
              </w:rPr>
            </w:pPr>
          </w:p>
        </w:tc>
        <w:tc>
          <w:tcPr>
            <w:tcW w:w="1020" w:type="dxa"/>
            <w:vAlign w:val="bottom"/>
          </w:tcPr>
          <w:p>
            <w:pPr>
              <w:jc w:val="right"/>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194"/>
        </w:trPr>
        <w:tc>
          <w:tcPr>
            <w:tcW w:w="4080" w:type="dxa"/>
            <w:vAlign w:val="bottom"/>
            <w:tcBorders>
              <w:bottom w:val="single" w:sz="8" w:color="FF5715"/>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020" w:type="dxa"/>
            <w:vAlign w:val="bottom"/>
            <w:tcBorders>
              <w:bottom w:val="single" w:sz="8" w:color="FF5715"/>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FF5715"/>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FF5715"/>
            </w:tcBorders>
          </w:tcPr>
          <w:p>
            <w:pPr>
              <w:spacing w:after="0"/>
              <w:rPr>
                <w:sz w:val="16"/>
                <w:szCs w:val="16"/>
                <w:color w:val="auto"/>
              </w:rPr>
            </w:pPr>
          </w:p>
        </w:tc>
        <w:tc>
          <w:tcPr>
            <w:tcW w:w="1400" w:type="dxa"/>
            <w:vAlign w:val="bottom"/>
            <w:tcBorders>
              <w:bottom w:val="single" w:sz="8" w:color="FF5715"/>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580" w:type="dxa"/>
            <w:vAlign w:val="bottom"/>
            <w:tcBorders>
              <w:bottom w:val="single" w:sz="8" w:color="FF5715"/>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FF5715"/>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r>
      <w:tr>
        <w:trPr>
          <w:trHeight w:val="243"/>
        </w:trPr>
        <w:tc>
          <w:tcPr>
            <w:tcW w:w="40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2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Entities associated with Ribbit Capital</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503,800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728,807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57"/>
        </w:trPr>
        <w:tc>
          <w:tcPr>
            <w:tcW w:w="4080" w:type="dxa"/>
            <w:vAlign w:val="bottom"/>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Carvana Group, LLC</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shd w:val="clear" w:color="auto" w:fill="DBDBDB"/>
          </w:tcPr>
          <w:p>
            <w:pPr>
              <w:jc w:val="right"/>
              <w:ind w:right="34"/>
              <w:spacing w:after="0"/>
              <w:rPr>
                <w:sz w:val="20"/>
                <w:szCs w:val="20"/>
                <w:color w:val="auto"/>
              </w:rPr>
            </w:pPr>
            <w:r>
              <w:rPr>
                <w:rFonts w:ascii="Times New Roman" w:cs="Times New Roman" w:eastAsia="Times New Roman" w:hAnsi="Times New Roman"/>
                <w:sz w:val="18"/>
                <w:szCs w:val="18"/>
                <w:color w:val="auto"/>
              </w:rPr>
              <w:t>780,727</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60" w:type="dxa"/>
            <w:vAlign w:val="bottom"/>
            <w:shd w:val="clear" w:color="auto" w:fill="DBDBDB"/>
          </w:tcPr>
          <w:p>
            <w:pPr>
              <w:spacing w:after="0"/>
              <w:rPr>
                <w:sz w:val="22"/>
                <w:szCs w:val="22"/>
                <w:color w:val="auto"/>
              </w:rPr>
            </w:pPr>
          </w:p>
        </w:tc>
        <w:tc>
          <w:tcPr>
            <w:tcW w:w="1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58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24"/>
        </w:trPr>
        <w:tc>
          <w:tcPr>
            <w:tcW w:w="40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020" w:type="dxa"/>
            <w:vAlign w:val="bottom"/>
            <w:shd w:val="clear" w:color="auto" w:fill="DBDBDB"/>
          </w:tcPr>
          <w:p>
            <w:pPr>
              <w:spacing w:after="0"/>
              <w:rPr>
                <w:sz w:val="24"/>
                <w:szCs w:val="24"/>
                <w:color w:val="auto"/>
              </w:rPr>
            </w:pPr>
          </w:p>
        </w:tc>
        <w:tc>
          <w:tcPr>
            <w:tcW w:w="48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1400" w:type="dxa"/>
            <w:vAlign w:val="bottom"/>
            <w:shd w:val="clear" w:color="auto" w:fill="DBDBDB"/>
          </w:tcPr>
          <w:p>
            <w:pPr>
              <w:spacing w:after="0"/>
              <w:rPr>
                <w:sz w:val="24"/>
                <w:szCs w:val="24"/>
                <w:color w:val="auto"/>
              </w:rPr>
            </w:pPr>
          </w:p>
        </w:tc>
        <w:tc>
          <w:tcPr>
            <w:tcW w:w="580" w:type="dxa"/>
            <w:vAlign w:val="bottom"/>
            <w:shd w:val="clear" w:color="auto" w:fill="DBDBDB"/>
          </w:tcPr>
          <w:p>
            <w:pPr>
              <w:spacing w:after="0"/>
              <w:rPr>
                <w:sz w:val="24"/>
                <w:szCs w:val="24"/>
                <w:color w:val="auto"/>
              </w:rPr>
            </w:pPr>
          </w:p>
        </w:tc>
        <w:tc>
          <w:tcPr>
            <w:tcW w:w="800" w:type="dxa"/>
            <w:vAlign w:val="bottom"/>
            <w:shd w:val="clear" w:color="auto" w:fill="DBDBDB"/>
          </w:tcPr>
          <w:p>
            <w:pPr>
              <w:spacing w:after="0"/>
              <w:rPr>
                <w:sz w:val="24"/>
                <w:szCs w:val="24"/>
                <w:color w:val="auto"/>
              </w:rPr>
            </w:pPr>
          </w:p>
        </w:tc>
      </w:tr>
      <w:tr>
        <w:trPr>
          <w:trHeight w:val="256"/>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Alexander Timm</w:t>
            </w:r>
            <w:r>
              <w:rPr>
                <w:rFonts w:ascii="Times New Roman" w:cs="Times New Roman" w:eastAsia="Times New Roman" w:hAnsi="Times New Roman"/>
                <w:sz w:val="23"/>
                <w:szCs w:val="23"/>
                <w:color w:val="auto"/>
                <w:w w:val="99"/>
                <w:vertAlign w:val="superscript"/>
              </w:rPr>
              <w:t>(3)</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144,766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1,067,184 59.1 %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57"/>
        </w:trPr>
        <w:tc>
          <w:tcPr>
            <w:tcW w:w="4080" w:type="dxa"/>
            <w:vAlign w:val="bottom"/>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rPr>
              <w:t>Mahtiyar Bonakdarpour</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B4B4B4"/>
              </w:rPr>
              <w:t>..............................................</w:t>
            </w:r>
          </w:p>
        </w:tc>
        <w:tc>
          <w:tcPr>
            <w:tcW w:w="102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8"/>
                <w:szCs w:val="18"/>
                <w:color w:val="auto"/>
              </w:rPr>
              <w:t>413,459</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5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Jonathan Allison</w:t>
            </w:r>
            <w:r>
              <w:rPr>
                <w:rFonts w:ascii="Times New Roman" w:cs="Times New Roman" w:eastAsia="Times New Roman" w:hAnsi="Times New Roman"/>
                <w:sz w:val="23"/>
                <w:szCs w:val="23"/>
                <w:color w:val="auto"/>
                <w:w w:val="99"/>
                <w:vertAlign w:val="superscript"/>
              </w:rPr>
              <w:t>(5)</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14,042</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080" w:type="dxa"/>
            <w:vAlign w:val="bottom"/>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rPr>
              <w:t>Megan Binkley</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02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8"/>
                <w:szCs w:val="18"/>
                <w:color w:val="auto"/>
              </w:rPr>
              <w:t>52,321</w:t>
            </w:r>
          </w:p>
        </w:tc>
        <w:tc>
          <w:tcPr>
            <w:tcW w:w="480" w:type="dxa"/>
            <w:vAlign w:val="bottom"/>
            <w:shd w:val="clear" w:color="auto" w:fill="DBDBDB"/>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5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Douglas Ulman</w:t>
            </w:r>
            <w:r>
              <w:rPr>
                <w:rFonts w:ascii="Times New Roman" w:cs="Times New Roman" w:eastAsia="Times New Roman" w:hAnsi="Times New Roman"/>
                <w:sz w:val="23"/>
                <w:szCs w:val="23"/>
                <w:color w:val="auto"/>
                <w:w w:val="99"/>
                <w:vertAlign w:val="superscript"/>
              </w:rPr>
              <w:t>(7)</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44,549</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080" w:type="dxa"/>
            <w:vAlign w:val="bottom"/>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 xml:space="preserve">Jerri DeVard </w:t>
            </w:r>
            <w:r>
              <w:rPr>
                <w:rFonts w:ascii="Times New Roman" w:cs="Times New Roman" w:eastAsia="Times New Roman" w:hAnsi="Times New Roman"/>
                <w:sz w:val="23"/>
                <w:szCs w:val="23"/>
                <w:color w:val="auto"/>
                <w:w w:val="99"/>
                <w:vertAlign w:val="superscript"/>
              </w:rPr>
              <w:t>(8)</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8"/>
                <w:szCs w:val="18"/>
                <w:color w:val="auto"/>
              </w:rPr>
              <w:t>18,532</w:t>
            </w:r>
          </w:p>
        </w:tc>
        <w:tc>
          <w:tcPr>
            <w:tcW w:w="480" w:type="dxa"/>
            <w:vAlign w:val="bottom"/>
            <w:shd w:val="clear" w:color="auto" w:fill="DBDBDB"/>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DBDB"/>
          </w:tcPr>
          <w:p>
            <w:pPr>
              <w:spacing w:after="0"/>
              <w:rPr>
                <w:sz w:val="22"/>
                <w:szCs w:val="22"/>
                <w:color w:val="auto"/>
              </w:rPr>
            </w:pPr>
          </w:p>
        </w:tc>
        <w:tc>
          <w:tcPr>
            <w:tcW w:w="1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Lawrence Hilsheimer</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B4B4B4"/>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42,591</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080" w:type="dxa"/>
            <w:vAlign w:val="bottom"/>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Nancy Kramer</w:t>
            </w:r>
            <w:r>
              <w:rPr>
                <w:rFonts w:ascii="Times New Roman" w:cs="Times New Roman" w:eastAsia="Times New Roman" w:hAnsi="Times New Roman"/>
                <w:sz w:val="23"/>
                <w:szCs w:val="23"/>
                <w:color w:val="auto"/>
                <w:w w:val="99"/>
                <w:vertAlign w:val="superscript"/>
              </w:rPr>
              <w:t>(10)</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8"/>
                <w:szCs w:val="18"/>
                <w:color w:val="auto"/>
              </w:rPr>
              <w:t>27,933</w:t>
            </w:r>
          </w:p>
        </w:tc>
        <w:tc>
          <w:tcPr>
            <w:tcW w:w="480" w:type="dxa"/>
            <w:vAlign w:val="bottom"/>
            <w:shd w:val="clear" w:color="auto" w:fill="DBDBDB"/>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580" w:type="dxa"/>
            <w:vAlign w:val="bottom"/>
            <w:shd w:val="clear" w:color="auto" w:fill="DBDBDB"/>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Beth Birnbaum</w:t>
            </w:r>
            <w:r>
              <w:rPr>
                <w:rFonts w:ascii="Times New Roman" w:cs="Times New Roman" w:eastAsia="Times New Roman" w:hAnsi="Times New Roman"/>
                <w:sz w:val="23"/>
                <w:szCs w:val="23"/>
                <w:color w:val="auto"/>
                <w:w w:val="99"/>
                <w:vertAlign w:val="superscript"/>
              </w:rPr>
              <w:t>(11)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14,280</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4080" w:type="dxa"/>
            <w:vAlign w:val="bottom"/>
            <w:shd w:val="clear" w:color="auto" w:fill="DBDBDB"/>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Julie Szudarek</w:t>
            </w:r>
            <w:r>
              <w:rPr>
                <w:rFonts w:ascii="Times New Roman" w:cs="Times New Roman" w:eastAsia="Times New Roman" w:hAnsi="Times New Roman"/>
                <w:sz w:val="23"/>
                <w:szCs w:val="23"/>
                <w:color w:val="auto"/>
                <w:w w:val="99"/>
                <w:vertAlign w:val="superscript"/>
              </w:rPr>
              <w:t>(12)</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102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8"/>
                <w:szCs w:val="18"/>
                <w:color w:val="auto"/>
              </w:rPr>
              <w:t>11,832</w:t>
            </w:r>
          </w:p>
        </w:tc>
        <w:tc>
          <w:tcPr>
            <w:tcW w:w="480" w:type="dxa"/>
            <w:vAlign w:val="bottom"/>
            <w:shd w:val="clear" w:color="auto" w:fill="DBDBDB"/>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BDBDB"/>
          </w:tcPr>
          <w:p>
            <w:pPr>
              <w:spacing w:after="0"/>
              <w:rPr>
                <w:sz w:val="22"/>
                <w:szCs w:val="22"/>
                <w:color w:val="auto"/>
              </w:rPr>
            </w:pPr>
          </w:p>
        </w:tc>
        <w:tc>
          <w:tcPr>
            <w:tcW w:w="1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0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w w:val="99"/>
              </w:rPr>
              <w:t>Donna Dorsey</w:t>
            </w:r>
            <w:r>
              <w:rPr>
                <w:rFonts w:ascii="Times New Roman" w:cs="Times New Roman" w:eastAsia="Times New Roman" w:hAnsi="Times New Roman"/>
                <w:sz w:val="23"/>
                <w:szCs w:val="23"/>
                <w:color w:val="auto"/>
                <w:w w:val="99"/>
                <w:vertAlign w:val="superscript"/>
              </w:rPr>
              <w:t>(13)</w:t>
            </w:r>
            <w:r>
              <w:rPr>
                <w:rFonts w:ascii="Times New Roman" w:cs="Times New Roman" w:eastAsia="Times New Roman" w:hAnsi="Times New Roman"/>
                <w:sz w:val="18"/>
                <w:szCs w:val="18"/>
                <w:color w:val="B4B4B4"/>
                <w:w w:val="99"/>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9,956</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40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02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r>
      <w:tr>
        <w:trPr>
          <w:trHeight w:val="234"/>
        </w:trPr>
        <w:tc>
          <w:tcPr>
            <w:tcW w:w="408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color w:val="auto"/>
              </w:rPr>
              <w:t xml:space="preserve">(11 persons) </w:t>
            </w:r>
            <w:r>
              <w:rPr>
                <w:rFonts w:ascii="Times New Roman" w:cs="Times New Roman" w:eastAsia="Times New Roman" w:hAnsi="Times New Roman"/>
                <w:sz w:val="18"/>
                <w:szCs w:val="18"/>
                <w:color w:val="B4B4B4"/>
              </w:rPr>
              <w:t>...................................................................</w:t>
            </w:r>
          </w:p>
        </w:tc>
        <w:tc>
          <w:tcPr>
            <w:tcW w:w="1020" w:type="dxa"/>
            <w:vAlign w:val="bottom"/>
            <w:shd w:val="clear" w:color="auto" w:fill="DBDBDB"/>
          </w:tcPr>
          <w:p>
            <w:pPr>
              <w:jc w:val="right"/>
              <w:ind w:right="34"/>
              <w:spacing w:after="0"/>
              <w:rPr>
                <w:sz w:val="20"/>
                <w:szCs w:val="20"/>
                <w:color w:val="auto"/>
              </w:rPr>
            </w:pPr>
            <w:r>
              <w:rPr>
                <w:rFonts w:ascii="Times New Roman" w:cs="Times New Roman" w:eastAsia="Times New Roman" w:hAnsi="Times New Roman"/>
                <w:sz w:val="18"/>
                <w:szCs w:val="18"/>
                <w:color w:val="auto"/>
              </w:rPr>
              <w:t>794,261</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6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1,106,959</w:t>
            </w:r>
          </w:p>
        </w:tc>
        <w:tc>
          <w:tcPr>
            <w:tcW w:w="5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8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36.1 %</w:t>
            </w:r>
          </w:p>
        </w:tc>
      </w:tr>
    </w:tbl>
    <w:p>
      <w:pPr>
        <w:spacing w:after="0" w:line="2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20" w:hanging="328"/>
        <w:spacing w:after="0"/>
        <w:tabs>
          <w:tab w:leader="none" w:pos="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23" w:lineRule="exact"/>
        <w:rPr>
          <w:sz w:val="20"/>
          <w:szCs w:val="20"/>
          <w:color w:val="auto"/>
        </w:rPr>
      </w:pPr>
    </w:p>
    <w:p>
      <w:pPr>
        <w:ind w:left="620" w:right="319" w:hanging="328"/>
        <w:spacing w:after="0" w:line="268" w:lineRule="auto"/>
        <w:tabs>
          <w:tab w:leader="none" w:pos="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common stock, Class B common stock and Series A preferred stock as a single class. The holders of our Class B common stock are entitled to 10 votes per share and holders of our Class A common stock are entitled to one vote per share. The holder of the Series A preferred stock is entitled to vote with the holders of Class A common stock and has the right to one vote per share of Class A common stock into which the Series A preferred stock is convertible.</w:t>
      </w:r>
    </w:p>
    <w:p>
      <w:pPr>
        <w:spacing w:after="0" w:line="226" w:lineRule="exact"/>
        <w:rPr>
          <w:sz w:val="20"/>
          <w:szCs w:val="20"/>
          <w:color w:val="auto"/>
        </w:rPr>
      </w:pPr>
    </w:p>
    <w:p>
      <w:pPr>
        <w:ind w:left="620" w:right="359" w:hanging="328"/>
        <w:spacing w:after="0" w:line="265" w:lineRule="auto"/>
        <w:tabs>
          <w:tab w:leader="none" w:pos="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information contained in the Schedule 13G/A filed on August 14, 2025. Consists of 728,807 shares of Class B common stock held by Ribbit Capital IV, L.P,. for itself and as nominee for Ribbit Founder Fund IV, L.P. (“Ribbit Capital IV”), and RT-E Ribbit Opportunity IV, LLC (“Ribbit RT-E”). Meyer Malka is the sole director of Ribbit Capital GP IV, Ltd., which is the general partner of Ribbit Capital GP IV, L.P., which is both the general partner of Ribbit Capital IV and the managing member of Ribbit RT-E and as such, Mr. Malka may be deemed to hold voting and investment power with respect to the shares held by Ribbit Capital IV and Ribbit RT-E. The principal office address of each of these entities is c/o Ribbit Capital Management, 364 University Avenue, Palo Alto, California 94301.</w:t>
      </w:r>
    </w:p>
    <w:p>
      <w:pPr>
        <w:spacing w:after="0" w:line="67" w:lineRule="exact"/>
        <w:rPr>
          <w:rFonts w:ascii="Times New Roman" w:cs="Times New Roman" w:eastAsia="Times New Roman" w:hAnsi="Times New Roman"/>
          <w:sz w:val="14"/>
          <w:szCs w:val="14"/>
          <w:color w:val="auto"/>
        </w:rPr>
      </w:pPr>
    </w:p>
    <w:p>
      <w:pPr>
        <w:ind w:left="620" w:right="359" w:hanging="328"/>
        <w:spacing w:after="0" w:line="265" w:lineRule="auto"/>
        <w:tabs>
          <w:tab w:leader="none" w:pos="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information contained in the Schedule 13D/A filed on March 3, 2026. Consists of 780,727 shares of Class A common stock into which Series A preferred stock is convertible at the option of the holder, subject to such holder’s receipt of approval from the Company’s domestic insurance regulators in the event such conversion would cause the holder to hold in excess of 9.9% of the voting stock of the Company. Excludes 2,927,727 shares of Class A Common Stock issuable upon the exercise of exercisable warrants that were out of the money as of April 6, 2026, and for which the Company has the option to net settle. The principal office address of Carvana Group, LLC is 300 E. Rio Salado Parkway, Tempe, Arizona 85281.</w:t>
      </w:r>
    </w:p>
    <w:p>
      <w:pPr>
        <w:spacing w:after="0" w:line="53" w:lineRule="exact"/>
        <w:rPr>
          <w:rFonts w:ascii="Times New Roman" w:cs="Times New Roman" w:eastAsia="Times New Roman" w:hAnsi="Times New Roman"/>
          <w:sz w:val="14"/>
          <w:szCs w:val="14"/>
          <w:color w:val="auto"/>
        </w:rPr>
      </w:pPr>
    </w:p>
    <w:p>
      <w:pPr>
        <w:jc w:val="both"/>
        <w:ind w:left="620" w:right="599" w:hanging="328"/>
        <w:spacing w:after="0" w:line="281" w:lineRule="auto"/>
        <w:tabs>
          <w:tab w:leader="none" w:pos="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144,766 shares of Class A common stock, (ii) 1,056,393 shares of Class B common stock, of which 6,044 shares may be repurchased by us at the original purchase price as of April 6, 2026, and (iii) 10,791 shares of Class B common stock held by the Timm Descendants Trust. The Timm Descendants Trust is a trust for the benefit of Mr. Timm and his immediate family.</w:t>
      </w:r>
    </w:p>
    <w:p>
      <w:pPr>
        <w:spacing w:after="0" w:line="42" w:lineRule="exact"/>
        <w:rPr>
          <w:rFonts w:ascii="Times New Roman" w:cs="Times New Roman" w:eastAsia="Times New Roman" w:hAnsi="Times New Roman"/>
          <w:sz w:val="14"/>
          <w:szCs w:val="14"/>
          <w:color w:val="auto"/>
        </w:rPr>
      </w:pPr>
    </w:p>
    <w:p>
      <w:pPr>
        <w:ind w:left="620" w:right="319" w:hanging="328"/>
        <w:spacing w:after="0" w:line="265" w:lineRule="auto"/>
        <w:tabs>
          <w:tab w:leader="none" w:pos="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264,165 shares of Class A common stock, and (ii) 15,392 shares of Class B common stock issuable to Mr. Bonakdarpour pursuant to exercisable options. Also includes the following shares over which Mr. Bonakdarpour may be deemed to have an indirect pecuniary interest through his spouse’s carried interest in Drive Capital Overdrive Fund I (GP), LLC, (iii) 99,687 shares of Class A common stock held by Drive Capital Overdrive Fund I, L.P., (iv) 48,201 shares of Class A common stock held by Drive Capital Overdrive Fund I (TE), L.P., and (v) 1,406 shares of Class A common stock held by Drive Capital Overdrive Ignition Fund I, L.P (collectively, the “Drive shares”). Neither Mr. Bonakdarpour nor his spouse has voting or investment control over the Drive shares.</w:t>
      </w:r>
    </w:p>
    <w:p>
      <w:pPr>
        <w:spacing w:after="0" w:line="67" w:lineRule="exact"/>
        <w:rPr>
          <w:rFonts w:ascii="Times New Roman" w:cs="Times New Roman" w:eastAsia="Times New Roman" w:hAnsi="Times New Roman"/>
          <w:sz w:val="14"/>
          <w:szCs w:val="14"/>
          <w:color w:val="auto"/>
        </w:rPr>
      </w:pPr>
    </w:p>
    <w:p>
      <w:pPr>
        <w:ind w:left="620" w:right="379" w:hanging="328"/>
        <w:spacing w:after="0" w:line="282" w:lineRule="auto"/>
        <w:tabs>
          <w:tab w:leader="none" w:pos="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14,042 shares of Class A common stock, and (ii) 12,024 shares of Class B common stock issuable to Mr. Allison pursuant to exercisable options.</w:t>
      </w:r>
    </w:p>
    <w:p>
      <w:pPr>
        <w:spacing w:after="0" w:line="53" w:lineRule="exact"/>
        <w:rPr>
          <w:rFonts w:ascii="Times New Roman" w:cs="Times New Roman" w:eastAsia="Times New Roman" w:hAnsi="Times New Roman"/>
          <w:sz w:val="14"/>
          <w:szCs w:val="14"/>
          <w:color w:val="auto"/>
        </w:rPr>
      </w:pPr>
    </w:p>
    <w:p>
      <w:pPr>
        <w:ind w:left="620" w:right="819" w:hanging="328"/>
        <w:spacing w:after="0" w:line="302" w:lineRule="auto"/>
        <w:tabs>
          <w:tab w:leader="none" w:pos="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52,321 shares of Class A common stock, (ii) 1,111 shares of Class B common stock, and (iii) 1,527 shares of Class B common stock issuable to Ms. Binkley pursuant to exercisable options.</w:t>
      </w:r>
    </w:p>
    <w:p>
      <w:pPr>
        <w:sectPr>
          <w:pgSz w:w="11900" w:h="16838" w:orient="portrait"/>
          <w:cols w:equalWidth="0" w:num="1">
            <w:col w:w="9019"/>
          </w:cols>
          <w:pgMar w:left="1440" w:top="1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1289" w:right="1440" w:bottom="1440" w:gutter="0" w:footer="0" w:header="0"/>
          <w:type w:val="continuous"/>
        </w:sectPr>
      </w:pPr>
    </w:p>
    <w:bookmarkStart w:id="67" w:name="page68"/>
    <w:bookmarkEnd w:id="67"/>
    <w:p>
      <w:pPr>
        <w:ind w:left="620" w:right="339" w:hanging="328"/>
        <w:spacing w:after="0" w:line="268"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Consists of (i) 33,824 shares of Class A common stock held by the Douglas E. Ulman 2016 Revocable Trust, (ii) 9,606 shares of Class A common stock held by the Douglas E. Ulman 2016 Irrevocable Trust for which Mr. Ulman’s spouse is the trustee, and (iii) 1,119 shares of Class A common stock issuable in respect of restricted stock units vesting within 60 days of April 6, 2026 and upon retirement from service on the board of directors. In addition, Mr. Ulman has sole voting control over 3,755 shares of Class A common stock in a donor advised fund.</w:t>
      </w:r>
    </w:p>
    <w:p>
      <w:pPr>
        <w:spacing w:after="0" w:line="239" w:lineRule="exact"/>
        <w:rPr>
          <w:rFonts w:ascii="Times New Roman" w:cs="Times New Roman" w:eastAsia="Times New Roman" w:hAnsi="Times New Roman"/>
          <w:sz w:val="14"/>
          <w:szCs w:val="14"/>
          <w:color w:val="auto"/>
        </w:rPr>
      </w:pPr>
    </w:p>
    <w:p>
      <w:pPr>
        <w:ind w:left="620" w:right="319" w:hanging="328"/>
        <w:spacing w:after="0" w:line="282"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17,413 shares of Class A common stock, and (ii) 1,119 shares of Class A common stock issuable in respect of restricted stock units vesting within 60 days of April 6, 2026 and upon retirement from service on the board of directors.</w:t>
      </w:r>
    </w:p>
    <w:p>
      <w:pPr>
        <w:spacing w:after="0" w:line="53" w:lineRule="exact"/>
        <w:rPr>
          <w:rFonts w:ascii="Times New Roman" w:cs="Times New Roman" w:eastAsia="Times New Roman" w:hAnsi="Times New Roman"/>
          <w:sz w:val="14"/>
          <w:szCs w:val="14"/>
          <w:color w:val="auto"/>
        </w:rPr>
      </w:pPr>
    </w:p>
    <w:p>
      <w:pPr>
        <w:ind w:left="620" w:right="319" w:hanging="328"/>
        <w:spacing w:after="0" w:line="281"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41,472 shares of Class A common stock, 1,596 of which are held through Mr. Hilsheimer’s IRA, (ii) 1,119 shares of Class A common stock issuable in respect of restricted stock units vesting within 60 days of April 6, 2026, and (iii) 5,555 shares of Class B common stock.</w:t>
      </w:r>
    </w:p>
    <w:p>
      <w:pPr>
        <w:spacing w:after="0" w:line="42" w:lineRule="exact"/>
        <w:rPr>
          <w:rFonts w:ascii="Times New Roman" w:cs="Times New Roman" w:eastAsia="Times New Roman" w:hAnsi="Times New Roman"/>
          <w:sz w:val="14"/>
          <w:szCs w:val="14"/>
          <w:color w:val="auto"/>
        </w:rPr>
      </w:pPr>
    </w:p>
    <w:p>
      <w:pPr>
        <w:ind w:left="620" w:right="479" w:hanging="328"/>
        <w:spacing w:after="0" w:line="268"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26,814 shares of Class A common stock, 10,317 of which are held through the Nancy J. Kramer Revocable Trust (ii) 1,119 shares of Class A common stock issuable in respect of restricted stock units vesting within 60 days of April 6, 2026 and upon retirement from service on the board of directors, and (iii) 4,166 shares of Class B common stock issuable to Ms. Kramer pursuant to exercisable options.</w:t>
      </w:r>
    </w:p>
    <w:p>
      <w:pPr>
        <w:spacing w:after="0" w:line="63" w:lineRule="exact"/>
        <w:rPr>
          <w:rFonts w:ascii="Times New Roman" w:cs="Times New Roman" w:eastAsia="Times New Roman" w:hAnsi="Times New Roman"/>
          <w:sz w:val="14"/>
          <w:szCs w:val="14"/>
          <w:color w:val="auto"/>
        </w:rPr>
      </w:pPr>
    </w:p>
    <w:p>
      <w:pPr>
        <w:ind w:left="620" w:right="319" w:hanging="328"/>
        <w:spacing w:after="0" w:line="302"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13,161 shares of Class A common stock, and (ii) 1,119 shares of Class A common stock issuable in respect of restricted stock units vesting within 60 days of April 6, 2026 and upon retirement from service on the board of directors.</w:t>
      </w:r>
    </w:p>
    <w:p>
      <w:pPr>
        <w:spacing w:after="0" w:line="26" w:lineRule="exact"/>
        <w:rPr>
          <w:rFonts w:ascii="Times New Roman" w:cs="Times New Roman" w:eastAsia="Times New Roman" w:hAnsi="Times New Roman"/>
          <w:sz w:val="14"/>
          <w:szCs w:val="14"/>
          <w:color w:val="auto"/>
        </w:rPr>
      </w:pPr>
    </w:p>
    <w:p>
      <w:pPr>
        <w:ind w:left="620" w:right="319" w:hanging="328"/>
        <w:spacing w:after="0" w:line="302"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10,713 shares of Class A common stock, and (ii) 1,119 shares of Class A common stock issuable in respect of restricted stock units vesting within 60 days of April 6, 2026 and upon retirement from service on the board of directors.</w:t>
      </w:r>
    </w:p>
    <w:p>
      <w:pPr>
        <w:spacing w:after="0" w:line="26" w:lineRule="exact"/>
        <w:rPr>
          <w:rFonts w:ascii="Times New Roman" w:cs="Times New Roman" w:eastAsia="Times New Roman" w:hAnsi="Times New Roman"/>
          <w:sz w:val="14"/>
          <w:szCs w:val="14"/>
          <w:color w:val="auto"/>
        </w:rPr>
      </w:pPr>
    </w:p>
    <w:p>
      <w:pPr>
        <w:ind w:left="620" w:right="399" w:hanging="328"/>
        <w:spacing w:after="0" w:line="302" w:lineRule="auto"/>
        <w:tabs>
          <w:tab w:leader="none" w:pos="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8,837 shares of Class A common stock, and (ii) 1,119 shares of Class A common stock issuable in respect of restricted stock units vesting within 60 days of April 6, 2026 and upon retirement from service on the board of directors.</w:t>
      </w: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019"/>
          </w:cols>
          <w:pgMar w:left="1440" w:top="1224" w:right="1440" w:bottom="1440" w:gutter="0" w:footer="0" w:header="0"/>
          <w:type w:val="continuous"/>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TRANSACTIONS WITH RELATED PERSONS</w:t>
      </w:r>
    </w:p>
    <w:p>
      <w:pPr>
        <w:spacing w:after="0" w:line="263"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2025, to which we were a party or will be a party, in which:</w:t>
      </w:r>
    </w:p>
    <w:p>
      <w:pPr>
        <w:spacing w:after="0" w:line="216" w:lineRule="exact"/>
        <w:rPr>
          <w:sz w:val="20"/>
          <w:szCs w:val="20"/>
          <w:color w:val="auto"/>
        </w:rPr>
      </w:pPr>
    </w:p>
    <w:p>
      <w:pPr>
        <w:ind w:left="580" w:hanging="227"/>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52" w:lineRule="exact"/>
        <w:rPr>
          <w:rFonts w:ascii="Times New Roman" w:cs="Times New Roman" w:eastAsia="Times New Roman" w:hAnsi="Times New Roman"/>
          <w:sz w:val="18"/>
          <w:szCs w:val="18"/>
          <w:color w:val="auto"/>
        </w:rPr>
      </w:pPr>
    </w:p>
    <w:p>
      <w:pPr>
        <w:ind w:left="580" w:right="939" w:hanging="227"/>
        <w:spacing w:after="0" w:line="266" w:lineRule="auto"/>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Class A common stock or Class B common stock, or any member of the immediate family of, or person sharing the household with, the foregoing persons, had or will have a direct or indirect material interest.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Investors’ Rights Agreement</w:t>
      </w:r>
    </w:p>
    <w:p>
      <w:pPr>
        <w:spacing w:after="0" w:line="11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(“IRA”) with certain holders of our capital stock, including entities affiliated with Ribbit Capital, as well as other holders of our previously issued redeemable convertible preferred stock, all shares of which were converted into shares of our Class B common stock at the time of our initial public offering. The IRA provides the holders of such shares with certain registration rights, including the right to demand that we file a registration statement or request that their shares be covered by a registration statement that we are otherwise filing.</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Carvana Agreements</w:t>
      </w:r>
    </w:p>
    <w:p>
      <w:pPr>
        <w:spacing w:after="0" w:line="11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We are a party to an investment agreement and a commercial agreement with, and have issued warrants to, Carvana Group, LLC (“Carvana”). Pursuant to the investment agreement, Carvana is entitled to certain governance, consent and registration rights contemplated by the investment agreement. Carvana’s governance rights include the right to appoint Ernest Garcia III, the President and Chief Executive Officer of Carvana, to our board of directors. Carvana will no longer be entitled to appoint Mr. Garcia to our board of directors if Carvana ceases to beneficially own any of the Series A preferred stock acquired by Carvana at the closing of the investment. Carvana has not exercised its appointment right as of the date hereof. Carvana is subject to customary standstill and non-transfer restrictions in respect of the Series A preferred stock and the warrants for a five-year period following the closing of the investment, subject to certain limited exceptions in the investment agreement. Carvana has also covenanted in the investment agreement to make all required insurance regulatory filings with Root’s domestic insurance regulators in the event that the conversion of the Series A preferred stock or exercise of the warrants would cause Carvana to hold in excess of 9.9% of the outstanding voting stock of Root. Both Carvana and Root must use commercially reasonable efforts to obtain any required regulatory approvals. Carvana has also agreed to vote its shares of Series A preferred stock at the Annual Meeting in support of Proposal 1 and in the same proportion as our unaffiliated stockholders with respect to all of the other proposals. Our “unaffiliated stockholders” do not include any of our current officers and directors and any other beneficial owner of more than 5.0% (determined on a fully-diluted basis) of our outstanding common stock (other than investors that are eligible to file a Schedule 13G with the SEC pursuant to Rule 13d-1(b) of the Exchange Act) and any affiliate of any of the foregoing persons.</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019"/>
          </w:cols>
          <w:pgMar w:left="1440" w:top="1204" w:right="1440" w:bottom="1440" w:gutter="0" w:footer="0" w:header="0"/>
          <w:type w:val="continuous"/>
        </w:sectPr>
      </w:pPr>
    </w:p>
    <w:bookmarkStart w:id="69" w:name="page70"/>
    <w:bookmarkEnd w:id="69"/>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Policies and Procedures for Transactions with Related Persons</w:t>
      </w:r>
    </w:p>
    <w:p>
      <w:pPr>
        <w:spacing w:after="0" w:line="11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have adopted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risk and finance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risk and finance committee for review, consideration and approval. In approving or rejecting any such proposal, our board of directors or our audit, risk and finance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t>DELINQUENT SECTION 16(a) REPORTS</w:t>
      </w:r>
    </w:p>
    <w:p>
      <w:pPr>
        <w:spacing w:after="0" w:line="263" w:lineRule="exact"/>
        <w:rPr>
          <w:sz w:val="20"/>
          <w:szCs w:val="20"/>
          <w:color w:val="auto"/>
        </w:rPr>
      </w:pPr>
    </w:p>
    <w:p>
      <w:pPr>
        <w:ind w:left="300" w:right="379"/>
        <w:spacing w:after="0" w:line="272" w:lineRule="auto"/>
        <w:rPr>
          <w:sz w:val="20"/>
          <w:szCs w:val="20"/>
          <w:color w:val="auto"/>
        </w:rPr>
      </w:pPr>
      <w:r>
        <w:rPr>
          <w:rFonts w:ascii="Times New Roman" w:cs="Times New Roman" w:eastAsia="Times New Roman" w:hAnsi="Times New Roman"/>
          <w:sz w:val="17"/>
          <w:szCs w:val="17"/>
          <w:color w:val="auto"/>
        </w:rPr>
        <w:t>Section 16(a) of the Exchange Act requires directors, executive officers and beneficial owners of more than 10 percent of our equity securities to file reports of holdings and transactions in its equity securities with the SEC and Nasdaq generally within two business days of a reportable transaction. We seek to assist our directors and executive officers by monitoring transactions and completing and filing reports on their behalf. Based solely on our review of Section 16 reports prepared by or furnished to us, we believe that all Section 16(a) SEC filing requirements applicable to our directors and executive officers and beneficial owners of more than 10 percent of our equity securities for fiscal year ended December 31, 2025 were timely met, except as follows: a Form 4 reporting one transaction for Ms. Kramer was filed one day late due to inability to access Ms. Kramer’s EDGAR filing codes.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t>HOUSEHOLDING OF PROXY MATERIALS</w:t>
      </w:r>
    </w:p>
    <w:p>
      <w:pPr>
        <w:spacing w:after="0" w:line="250"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68"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likely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us via email at proxy@joinroot.com or via mail to Root, Inc., 80 E. Rich Street, Suite 500, Columbus, Ohio 43215, Attention: Secretary, or you may make a request by telephone to (866) 980-9431. Stockholders who currently receive multiple copies of the Notices of Internet Availability of Proxy Materials at their addresses and would like to request “householding” of their communications should contact their brokers.</w:t>
      </w:r>
    </w:p>
    <w:p>
      <w:pPr>
        <w:sectPr>
          <w:pgSz w:w="11900" w:h="16838" w:orient="portrait"/>
          <w:cols w:equalWidth="0" w:num="1">
            <w:col w:w="9019"/>
          </w:cols>
          <w:pgMar w:left="1440" w:top="12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019"/>
          </w:cols>
          <w:pgMar w:left="1440" w:top="1215" w:right="1440" w:bottom="1440" w:gutter="0" w:footer="0" w:header="0"/>
          <w:type w:val="continuous"/>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25"/>
          <w:szCs w:val="25"/>
          <w:b w:val="1"/>
          <w:bCs w:val="1"/>
          <w:color w:val="FF5715"/>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OTHER MATTERS</w:t>
      </w:r>
    </w:p>
    <w:p>
      <w:pPr>
        <w:spacing w:after="0" w:line="263"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except as indicated in the notice. However, if any other matters are properly brought before the Annual Meeting for action of which we did not have notice on or prior to March 6, 2026, or that applicable laws otherwise permit proxies to vote on a discretionary basis, it is the intention of the persons named in the accompanying proxy to vote on such matters in accordance with their best judgment.</w:t>
      </w:r>
    </w:p>
    <w:p>
      <w:pPr>
        <w:spacing w:after="0" w:line="18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Jodi E. Baker</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April 24, 2026</w:t>
      </w:r>
    </w:p>
    <w:p>
      <w:pPr>
        <w:spacing w:after="0" w:line="313"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i w:val="1"/>
          <w:iCs w:val="1"/>
          <w:color w:val="auto"/>
        </w:rPr>
        <w:t>We have filed our Annual Report on Form 10-K for the fiscal year ended December 31, 2025 , with the SEC. It is available free of charge at the SEC’s web site at www.sec.gov. Stockholders can also access this Proxy Statement and our Annual Report on Form 10-K at ir.joinroot.com. A copy of our Annual Report on Form 10-K for the fiscal year ended December 31, 2025 , is also available without charge upon written request to us via email at proxy@joinroot.com</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2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9019"/>
          </w:cols>
          <w:pgMar w:left="1440" w:top="1204" w:right="1440" w:bottom="1440" w:gutter="0" w:footer="0" w:header="0"/>
          <w:type w:val="continuous"/>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APPENDIX A</w:t>
      </w:r>
    </w:p>
    <w:p>
      <w:pPr>
        <w:spacing w:after="0" w:line="2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TO</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ROOT, INC.</w:t>
      </w:r>
    </w:p>
    <w:p>
      <w:pPr>
        <w:spacing w:after="0" w:line="180"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Root, Inc., a corporation organized and existing under the General Corporation Law of the State of Delaware (the “Company”), hereby certifies as follows:</w:t>
      </w:r>
    </w:p>
    <w:p>
      <w:pPr>
        <w:spacing w:after="0" w:line="162" w:lineRule="exact"/>
        <w:rPr>
          <w:sz w:val="20"/>
          <w:szCs w:val="20"/>
          <w:color w:val="auto"/>
        </w:rPr>
      </w:pPr>
    </w:p>
    <w:p>
      <w:pPr>
        <w:ind w:left="300" w:right="339" w:firstLine="324"/>
        <w:spacing w:after="0" w:line="254" w:lineRule="auto"/>
        <w:rPr>
          <w:sz w:val="20"/>
          <w:szCs w:val="20"/>
          <w:color w:val="auto"/>
        </w:rPr>
      </w:pPr>
      <w:r>
        <w:rPr>
          <w:rFonts w:ascii="Times New Roman" w:cs="Times New Roman" w:eastAsia="Times New Roman" w:hAnsi="Times New Roman"/>
          <w:sz w:val="18"/>
          <w:szCs w:val="18"/>
          <w:color w:val="auto"/>
        </w:rPr>
        <w:t>FIRST: That the Board of Directors of the Company has duly adopted resolutions (i) authorizing the Company to execute and file with the Secretary of State of the State of Delaware this Certificate of Amendment to Amended and Restated Certificate of Incorporation (this “Second Amendment”) to allow for the exculpation of certain officers and (ii) declaring this Second Amendment to be advisable, submitted to and considered by the stockholders of the Company entitled to vote thereon for approval by the affirmative vote of such stockholders in accordance with the terms of the Company’s Amended and Restated Certificate of Incorporation (the “Certificate of Incorporation”) and Section 242 of the General Corporation Law of the State of Delaware (the “DGCL”) and recommended for approval by the stockholders of the Company.</w:t>
      </w:r>
    </w:p>
    <w:p>
      <w:pPr>
        <w:spacing w:after="0" w:line="192" w:lineRule="exact"/>
        <w:rPr>
          <w:sz w:val="20"/>
          <w:szCs w:val="20"/>
          <w:color w:val="auto"/>
        </w:rPr>
      </w:pPr>
    </w:p>
    <w:p>
      <w:pPr>
        <w:ind w:left="300" w:right="519" w:firstLine="324"/>
        <w:spacing w:after="0" w:line="266" w:lineRule="auto"/>
        <w:rPr>
          <w:sz w:val="20"/>
          <w:szCs w:val="20"/>
          <w:color w:val="auto"/>
        </w:rPr>
      </w:pPr>
      <w:r>
        <w:rPr>
          <w:rFonts w:ascii="Times New Roman" w:cs="Times New Roman" w:eastAsia="Times New Roman" w:hAnsi="Times New Roman"/>
          <w:sz w:val="18"/>
          <w:szCs w:val="18"/>
          <w:color w:val="auto"/>
        </w:rPr>
        <w:t>SECOND: That this Second Amendment was duly adopted in accordance with the terms of the Certificate of Incorporation and the provisions of Section 242 of the DGCL by the Board of Directors and stockholders of the Company.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THIRD: Immediately upon filing of this Second Amendment, Section A of Article VI of the Certificate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Incorporation is hereby amended to read in its entirety as follows: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62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w w:val="99"/>
              </w:rPr>
              <w:t>The liability of the directors and officers of the Company for monetary damages for breach of fiduciary</w:t>
            </w:r>
          </w:p>
        </w:tc>
      </w:tr>
      <w:tr>
        <w:trPr>
          <w:trHeight w:val="20"/>
        </w:trPr>
        <w:tc>
          <w:tcPr>
            <w:tcW w:w="1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duty as a director  or officer shall be eliminated to the fullest extent permitted under applicable law</w:t>
            </w:r>
          </w:p>
        </w:tc>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now or as</w:t>
            </w:r>
          </w:p>
        </w:tc>
      </w:tr>
      <w:tr>
        <w:trPr>
          <w:trHeight w:val="20"/>
        </w:trPr>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00" w:right="359"/>
        <w:spacing w:after="0" w:line="282" w:lineRule="auto"/>
        <w:rPr>
          <w:sz w:val="20"/>
          <w:szCs w:val="20"/>
          <w:color w:val="auto"/>
        </w:rPr>
      </w:pPr>
      <w:r>
        <w:rPr>
          <w:rFonts w:ascii="Times New Roman" w:cs="Times New Roman" w:eastAsia="Times New Roman" w:hAnsi="Times New Roman"/>
          <w:sz w:val="18"/>
          <w:szCs w:val="18"/>
          <w:u w:val="single" w:color="auto"/>
          <w:color w:val="auto"/>
        </w:rPr>
        <w:t>hereafter amended. Solely for the purpose of this Section A of Article VI, “officer” shall have the meaning provided in Section 102(b)(7) of the DGCL as currently in effect and as it may hereafter be amended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Amended and Restated</w:t>
      </w:r>
    </w:p>
    <w:p>
      <w:pPr>
        <w:spacing w:after="0" w:line="27" w:lineRule="exact"/>
        <w:rPr>
          <w:sz w:val="20"/>
          <w:szCs w:val="20"/>
          <w:color w:val="auto"/>
        </w:rPr>
      </w:pPr>
    </w:p>
    <w:p>
      <w:pPr>
        <w:ind w:left="300"/>
        <w:spacing w:after="0"/>
        <w:tabs>
          <w:tab w:leader="none" w:pos="5280" w:val="left"/>
          <w:tab w:leader="none" w:pos="6560" w:val="left"/>
          <w:tab w:leader="none" w:pos="7340" w:val="left"/>
        </w:tabs>
        <w:rPr>
          <w:sz w:val="20"/>
          <w:szCs w:val="20"/>
          <w:color w:val="auto"/>
        </w:rPr>
      </w:pPr>
      <w:r>
        <w:rPr>
          <w:rFonts w:ascii="Times New Roman" w:cs="Times New Roman" w:eastAsia="Times New Roman" w:hAnsi="Times New Roman"/>
          <w:sz w:val="18"/>
          <w:szCs w:val="18"/>
          <w:color w:val="auto"/>
        </w:rPr>
        <w:t>Certificate of Incorporation to be executed by [</w:t>
      </w:r>
      <w:r>
        <w:rPr>
          <w:sz w:val="20"/>
          <w:szCs w:val="20"/>
          <w:color w:val="auto"/>
        </w:rPr>
        <w:tab/>
      </w:r>
      <w:r>
        <w:rPr>
          <w:rFonts w:ascii="Times New Roman" w:cs="Times New Roman" w:eastAsia="Times New Roman" w:hAnsi="Times New Roman"/>
          <w:sz w:val="18"/>
          <w:szCs w:val="18"/>
          <w:color w:val="auto"/>
        </w:rPr>
        <w:t>] its [</w:t>
      </w:r>
      <w:r>
        <w:rPr>
          <w:sz w:val="20"/>
          <w:szCs w:val="20"/>
          <w:color w:val="auto"/>
        </w:rPr>
        <w:tab/>
      </w:r>
      <w:r>
        <w:rPr>
          <w:rFonts w:ascii="Times New Roman" w:cs="Times New Roman" w:eastAsia="Times New Roman" w:hAnsi="Times New Roman"/>
          <w:sz w:val="18"/>
          <w:szCs w:val="18"/>
          <w:color w:val="auto"/>
        </w:rPr>
        <w:t>], this [</w:t>
      </w:r>
      <w:r>
        <w:rPr>
          <w:sz w:val="20"/>
          <w:szCs w:val="20"/>
          <w:color w:val="auto"/>
        </w:rPr>
        <w:tab/>
      </w:r>
      <w:r>
        <w:rPr>
          <w:rFonts w:ascii="Times New Roman" w:cs="Times New Roman" w:eastAsia="Times New Roman" w:hAnsi="Times New Roman"/>
          <w:sz w:val="17"/>
          <w:szCs w:val="17"/>
          <w:color w:val="auto"/>
        </w:rPr>
        <w:t>] day of</w:t>
      </w:r>
    </w:p>
    <w:p>
      <w:pPr>
        <w:spacing w:after="0" w:line="9" w:lineRule="exact"/>
        <w:rPr>
          <w:sz w:val="20"/>
          <w:szCs w:val="20"/>
          <w:color w:val="auto"/>
        </w:rPr>
      </w:pPr>
    </w:p>
    <w:p>
      <w:pPr>
        <w:ind w:left="1260" w:hanging="968"/>
        <w:spacing w:after="0"/>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 ].</w:t>
      </w: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9019"/>
          </w:cols>
          <w:pgMar w:left="1440" w:top="1224" w:right="1440" w:bottom="1440" w:gutter="0" w:footer="0" w:header="0"/>
          <w:type w:val="continuous"/>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2"/>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
      <w:numFmt w:val="bullet"/>
      <w:start w:val="1"/>
    </w:lvl>
    <w:lvl w:ilvl="1">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3"/>
    </w:lvl>
  </w:abstractNum>
  <w:abstractNum w:abstractNumId="23">
    <w:nsid w:val="2A487CB0"/>
    <w:multiLevelType w:val="hybridMultilevel"/>
    <w:lvl w:ilvl="0">
      <w:lvlJc w:val="left"/>
      <w:lvlText w:val="(%1)"/>
      <w:numFmt w:val="decimal"/>
      <w:start w:val="4"/>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2"/>
    </w:lvl>
  </w:abstractNum>
  <w:abstractNum w:abstractNumId="41">
    <w:nsid w:val="75C6C33A"/>
    <w:multiLevelType w:val="hybridMultilevel"/>
    <w:lvl w:ilvl="0">
      <w:lvlJc w:val="left"/>
      <w:lvlText w:val="(%1)"/>
      <w:numFmt w:val="decimal"/>
      <w:start w:val="3"/>
    </w:lvl>
  </w:abstractNum>
  <w:abstractNum w:abstractNumId="42">
    <w:nsid w:val="12E685FB"/>
    <w:multiLevelType w:val="hybridMultilevel"/>
    <w:lvl w:ilvl="0">
      <w:lvlJc w:val="left"/>
      <w:lvlText w:val="(%1)"/>
      <w:numFmt w:val="decimal"/>
      <w:start w:val="2"/>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3"/>
    </w:lvl>
  </w:abstractNum>
  <w:abstractNum w:abstractNumId="45">
    <w:nsid w:val="374A3FE6"/>
    <w:multiLevelType w:val="hybridMultilevel"/>
    <w:lvl w:ilvl="0">
      <w:lvlJc w:val="left"/>
      <w:lvlText w:val="(%1)"/>
      <w:numFmt w:val="decimal"/>
      <w:start w:val="8"/>
    </w:lvl>
  </w:abstractNum>
  <w:abstractNum w:abstractNumId="46">
    <w:nsid w:val="4F4EF005"/>
    <w:multiLevelType w:val="hybridMultilevel"/>
    <w:lvl w:ilvl="0">
      <w:lvlJc w:val="left"/>
      <w:lvlText w:val="(%1)"/>
      <w:numFmt w:val="decimal"/>
      <w:start w:val="10"/>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2"/>
    </w:lvl>
  </w:abstractNum>
  <w:abstractNum w:abstractNumId="52">
    <w:nsid w:val="180115BE"/>
    <w:multiLevelType w:val="hybridMultilevel"/>
    <w:lvl w:ilvl="0">
      <w:lvlJc w:val="left"/>
      <w:lvlText w:val="(%1)"/>
      <w:numFmt w:val="decimal"/>
      <w:start w:val="3"/>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2"/>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7"/>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2026-04-24T07:20:37Z</dcterms:created>
  <dcterms:modified xsi:type="dcterms:W3CDTF">2026-04-24T07:20:37Z</dcterms:modified>
</cp:coreProperties>
</file>