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643890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669290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57150</wp:posOffset>
            </wp:positionV>
            <wp:extent cx="1463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6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jc w:val="center"/>
        <w:ind w:left="4080" w:right="1500" w:hanging="2589"/>
        <w:spacing w:after="0" w:line="257" w:lineRule="auto"/>
        <w:tabs>
          <w:tab w:leader="none" w:pos="166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 w:lineRule="exact"/>
        <w:rPr>
          <w:sz w:val="24"/>
          <w:szCs w:val="24"/>
          <w:color w:val="auto"/>
        </w:rPr>
      </w:pPr>
    </w:p>
    <w:p>
      <w:pPr>
        <w:jc w:val="center"/>
        <w:ind w:left="3580" w:right="1500" w:hanging="2095"/>
        <w:spacing w:after="0" w:line="568" w:lineRule="auto"/>
        <w:tabs>
          <w:tab w:leader="none" w:pos="1674"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from____________to____________</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Commission File Number: 001-39658</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ROOT, INC.</w:t>
      </w:r>
    </w:p>
    <w:p>
      <w:pPr>
        <w:sectPr>
          <w:pgSz w:w="11900" w:h="16838" w:orient="portrait"/>
          <w:cols w:equalWidth="0" w:num="1">
            <w:col w:w="11260"/>
          </w:cols>
          <w:pgMar w:left="320" w:top="1133" w:right="319" w:bottom="1440" w:gutter="0" w:footer="0" w:header="0"/>
        </w:sectPr>
      </w:pPr>
    </w:p>
    <w:p>
      <w:pPr>
        <w:spacing w:after="0" w:line="4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57150</wp:posOffset>
            </wp:positionV>
            <wp:extent cx="1463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91"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51"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80 E. Rich Street, Suite 500</w:t>
      </w:r>
    </w:p>
    <w:p>
      <w:pPr>
        <w:spacing w:after="0" w:line="25" w:lineRule="exact"/>
        <w:rPr>
          <w:sz w:val="24"/>
          <w:szCs w:val="24"/>
          <w:color w:val="auto"/>
        </w:rPr>
      </w:pPr>
    </w:p>
    <w:p>
      <w:pPr>
        <w:jc w:val="center"/>
        <w:ind w:right="4200"/>
        <w:spacing w:after="0"/>
        <w:rPr>
          <w:sz w:val="20"/>
          <w:szCs w:val="20"/>
          <w:color w:val="auto"/>
        </w:rPr>
      </w:pPr>
      <w:r>
        <w:rPr>
          <w:rFonts w:ascii="Times New Roman" w:cs="Times New Roman" w:eastAsia="Times New Roman" w:hAnsi="Times New Roman"/>
          <w:sz w:val="14"/>
          <w:szCs w:val="14"/>
          <w:b w:val="1"/>
          <w:bCs w:val="1"/>
          <w:color w:val="auto"/>
        </w:rPr>
        <w:t>Columbus, Ohio</w:t>
      </w:r>
    </w:p>
    <w:p>
      <w:pPr>
        <w:spacing w:after="0" w:line="5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5"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8"/>
          <w:szCs w:val="18"/>
          <w:b w:val="1"/>
          <w:bCs w:val="1"/>
          <w:color w:val="auto"/>
        </w:rPr>
        <w:t>(866) 980-9431</w:t>
      </w:r>
    </w:p>
    <w:p>
      <w:pPr>
        <w:spacing w:after="0" w:line="26" w:lineRule="exact"/>
        <w:rPr>
          <w:sz w:val="24"/>
          <w:szCs w:val="24"/>
          <w:color w:val="auto"/>
        </w:rPr>
      </w:pPr>
    </w:p>
    <w:p>
      <w:pPr>
        <w:jc w:val="center"/>
        <w:ind w:left="33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84-2717903</w:t>
      </w:r>
    </w:p>
    <w:p>
      <w:pPr>
        <w:spacing w:after="0" w:line="6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0"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43215</w:t>
      </w:r>
    </w:p>
    <w:p>
      <w:pPr>
        <w:spacing w:after="0" w:line="15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17" w:lineRule="exact"/>
        <w:rPr>
          <w:sz w:val="24"/>
          <w:szCs w:val="24"/>
          <w:color w:val="auto"/>
        </w:rPr>
      </w:pPr>
    </w:p>
    <w:p>
      <w:pPr>
        <w:sectPr>
          <w:pgSz w:w="11900" w:h="16838" w:orient="portrait"/>
          <w:cols w:equalWidth="0" w:num="2">
            <w:col w:w="7940" w:space="720"/>
            <w:col w:w="2600"/>
          </w:cols>
          <w:pgMar w:left="320" w:top="1133"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53340</wp:posOffset>
            </wp:positionV>
            <wp:extent cx="1463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169"/>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ROOT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$0.0001 par value per share</w:t>
            </w:r>
          </w:p>
        </w:tc>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r>
      <w:tr>
        <w:trPr>
          <w:trHeight w:val="38"/>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14" w:lineRule="exact"/>
        <w:rPr>
          <w:sz w:val="24"/>
          <w:szCs w:val="24"/>
          <w:color w:val="auto"/>
        </w:rPr>
      </w:pPr>
    </w:p>
    <w:p>
      <w:pPr>
        <w:ind w:right="200" w:firstLine="31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51" w:lineRule="exact"/>
        <w:rPr>
          <w:sz w:val="24"/>
          <w:szCs w:val="24"/>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ind w:left="20"/>
        <w:spacing w:after="0" w:line="161" w:lineRule="exact"/>
        <w:tabs>
          <w:tab w:leader="none" w:pos="56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64" w:lineRule="exact"/>
        <w:rPr>
          <w:sz w:val="24"/>
          <w:szCs w:val="24"/>
          <w:color w:val="auto"/>
        </w:rPr>
      </w:pPr>
    </w:p>
    <w:p>
      <w:pPr>
        <w:ind w:left="56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80"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As of July 30, 2025, the number of outstanding shares of the registrant’s Class A common stock, par value $0.0001 per share, was 13,618,876 and the number of outstanding shares of the registrant’s Class B common stock, par value $0.0001 per share, was 1,828,458.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439420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type w:val="continuous"/>
        </w:sectPr>
      </w:pPr>
    </w:p>
    <w:bookmarkStart w:id="1" w:name="page2"/>
    <w:bookmarkEnd w:id="1"/>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80" w:type="dxa"/>
            <w:vAlign w:val="bottom"/>
            <w:gridSpan w:val="13"/>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Borders>
              <w:bottom w:val="single" w:sz="8" w:color="auto"/>
            </w:tcBorders>
            <w:gridSpan w:val="4"/>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9"/>
        </w:trPr>
        <w:tc>
          <w:tcPr>
            <w:tcW w:w="10380" w:type="dxa"/>
            <w:vAlign w:val="bottom"/>
            <w:gridSpan w:val="25"/>
          </w:tcPr>
          <w:p>
            <w:pPr>
              <w:spacing w:after="0" w:line="179"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80" w:type="dxa"/>
            <w:vAlign w:val="bottom"/>
          </w:tcPr>
          <w:p>
            <w:pPr>
              <w:spacing w:after="0"/>
              <w:rPr>
                <w:sz w:val="15"/>
                <w:szCs w:val="15"/>
                <w:color w:val="auto"/>
              </w:rPr>
            </w:pPr>
          </w:p>
        </w:tc>
        <w:tc>
          <w:tcPr>
            <w:tcW w:w="240" w:type="dxa"/>
            <w:vAlign w:val="bottom"/>
            <w:gridSpan w:val="3"/>
          </w:tcPr>
          <w:p>
            <w:pPr>
              <w:jc w:val="center"/>
              <w:ind w:right="160"/>
              <w:spacing w:after="0" w:line="179" w:lineRule="exact"/>
              <w:rPr>
                <w:sz w:val="20"/>
                <w:szCs w:val="20"/>
                <w:color w:val="auto"/>
              </w:rPr>
            </w:pPr>
            <w:r>
              <w:rPr>
                <w:rFonts w:ascii="Times New Roman" w:cs="Times New Roman" w:eastAsia="Times New Roman" w:hAnsi="Times New Roman"/>
                <w:sz w:val="18"/>
                <w:szCs w:val="18"/>
                <w:color w:val="0000FF"/>
                <w:w w:val="79"/>
              </w:rPr>
              <w:t>ii</w:t>
            </w:r>
          </w:p>
        </w:tc>
        <w:tc>
          <w:tcPr>
            <w:tcW w:w="0" w:type="dxa"/>
            <w:vAlign w:val="bottom"/>
          </w:tcPr>
          <w:p>
            <w:pPr>
              <w:spacing w:after="0"/>
              <w:rPr>
                <w:sz w:val="1"/>
                <w:szCs w:val="1"/>
                <w:color w:val="auto"/>
              </w:rPr>
            </w:pPr>
          </w:p>
        </w:tc>
      </w:tr>
      <w:tr>
        <w:trPr>
          <w:trHeight w:val="470"/>
        </w:trPr>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60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1.</w:t>
            </w:r>
          </w:p>
        </w:tc>
        <w:tc>
          <w:tcPr>
            <w:tcW w:w="358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 Unaudited</w:t>
            </w:r>
          </w:p>
        </w:tc>
        <w:tc>
          <w:tcPr>
            <w:tcW w:w="2220" w:type="dxa"/>
            <w:vAlign w:val="bottom"/>
            <w:gridSpan w:val="8"/>
          </w:tcPr>
          <w:p>
            <w:pPr>
              <w:spacing w:after="0"/>
              <w:rPr>
                <w:sz w:val="17"/>
                <w:szCs w:val="17"/>
                <w:color w:val="auto"/>
              </w:rPr>
            </w:pPr>
          </w:p>
        </w:tc>
        <w:tc>
          <w:tcPr>
            <w:tcW w:w="3600" w:type="dxa"/>
            <w:vAlign w:val="bottom"/>
            <w:gridSpan w:val="4"/>
          </w:tcPr>
          <w:p>
            <w:pPr>
              <w:spacing w:after="0"/>
              <w:rPr>
                <w:sz w:val="17"/>
                <w:szCs w:val="17"/>
                <w:color w:val="auto"/>
              </w:rPr>
            </w:pPr>
          </w:p>
        </w:tc>
        <w:tc>
          <w:tcPr>
            <w:tcW w:w="500" w:type="dxa"/>
            <w:vAlign w:val="bottom"/>
            <w:gridSpan w:val="3"/>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000FF"/>
                <w:w w:val="88"/>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 - Unaudited</w:t>
            </w:r>
          </w:p>
        </w:tc>
        <w:tc>
          <w:tcPr>
            <w:tcW w:w="500" w:type="dxa"/>
            <w:vAlign w:val="bottom"/>
            <w:gridSpan w:val="3"/>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000FF"/>
                <w:w w:val="88"/>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 and Comprehensive Income (Loss) - Unaudited</w:t>
            </w:r>
          </w:p>
        </w:tc>
        <w:tc>
          <w:tcPr>
            <w:tcW w:w="2400" w:type="dxa"/>
            <w:vAlign w:val="bottom"/>
            <w:gridSpan w:val="2"/>
          </w:tcPr>
          <w:p>
            <w:pPr>
              <w:spacing w:after="0"/>
              <w:rPr>
                <w:sz w:val="17"/>
                <w:szCs w:val="17"/>
                <w:color w:val="auto"/>
              </w:rPr>
            </w:pPr>
          </w:p>
        </w:tc>
        <w:tc>
          <w:tcPr>
            <w:tcW w:w="500" w:type="dxa"/>
            <w:vAlign w:val="bottom"/>
            <w:gridSpan w:val="3"/>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000FF"/>
                <w:w w:val="88"/>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Redeemable Convertible Preferred Stock and Stockholders’ Equity - Unaudited</w:t>
            </w:r>
          </w:p>
        </w:tc>
        <w:tc>
          <w:tcPr>
            <w:tcW w:w="960" w:type="dxa"/>
            <w:vAlign w:val="bottom"/>
          </w:tcPr>
          <w:p>
            <w:pPr>
              <w:spacing w:after="0"/>
              <w:rPr>
                <w:sz w:val="17"/>
                <w:szCs w:val="17"/>
                <w:color w:val="auto"/>
              </w:rPr>
            </w:pPr>
          </w:p>
        </w:tc>
        <w:tc>
          <w:tcPr>
            <w:tcW w:w="500" w:type="dxa"/>
            <w:vAlign w:val="bottom"/>
            <w:gridSpan w:val="3"/>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4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Cash Flows - Unaudited</w:t>
            </w:r>
          </w:p>
        </w:tc>
        <w:tc>
          <w:tcPr>
            <w:tcW w:w="960" w:type="dxa"/>
            <w:vAlign w:val="bottom"/>
          </w:tcPr>
          <w:p>
            <w:pPr>
              <w:spacing w:after="0"/>
              <w:rPr>
                <w:sz w:val="17"/>
                <w:szCs w:val="17"/>
                <w:color w:val="auto"/>
              </w:rPr>
            </w:pPr>
          </w:p>
        </w:tc>
        <w:tc>
          <w:tcPr>
            <w:tcW w:w="500" w:type="dxa"/>
            <w:vAlign w:val="bottom"/>
            <w:gridSpan w:val="3"/>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 - Unaudited</w:t>
            </w:r>
          </w:p>
        </w:tc>
        <w:tc>
          <w:tcPr>
            <w:tcW w:w="500" w:type="dxa"/>
            <w:vAlign w:val="bottom"/>
            <w:gridSpan w:val="3"/>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360" w:type="dxa"/>
            <w:vAlign w:val="bottom"/>
          </w:tcPr>
          <w:p>
            <w:pPr>
              <w:spacing w:after="0"/>
              <w:rPr>
                <w:sz w:val="17"/>
                <w:szCs w:val="17"/>
                <w:color w:val="auto"/>
              </w:rPr>
            </w:pPr>
          </w:p>
        </w:tc>
        <w:tc>
          <w:tcPr>
            <w:tcW w:w="42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120" w:type="dxa"/>
            <w:vAlign w:val="bottom"/>
            <w:gridSpan w:val="8"/>
          </w:tcPr>
          <w:p>
            <w:pPr>
              <w:spacing w:after="0"/>
              <w:rPr>
                <w:sz w:val="17"/>
                <w:szCs w:val="17"/>
                <w:color w:val="auto"/>
              </w:rPr>
            </w:pP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700" w:type="dxa"/>
            <w:vAlign w:val="bottom"/>
            <w:gridSpan w:val="5"/>
            <w:vMerge w:val="restart"/>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vMerge w:val="continue"/>
          </w:tcPr>
          <w:p>
            <w:pPr>
              <w:spacing w:after="0"/>
              <w:rPr>
                <w:sz w:val="24"/>
                <w:szCs w:val="24"/>
                <w:color w:val="auto"/>
              </w:rPr>
            </w:pPr>
          </w:p>
        </w:tc>
        <w:tc>
          <w:tcPr>
            <w:tcW w:w="370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0000FF"/>
                <w:w w:val="70"/>
              </w:rPr>
              <w:t>40</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1.</w:t>
            </w:r>
          </w:p>
        </w:tc>
        <w:tc>
          <w:tcPr>
            <w:tcW w:w="360" w:type="dxa"/>
            <w:vAlign w:val="bottom"/>
          </w:tcPr>
          <w:p>
            <w:pPr>
              <w:spacing w:after="0"/>
              <w:rPr>
                <w:sz w:val="17"/>
                <w:szCs w:val="17"/>
                <w:color w:val="auto"/>
              </w:rPr>
            </w:pPr>
          </w:p>
        </w:tc>
        <w:tc>
          <w:tcPr>
            <w:tcW w:w="132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2360" w:type="dxa"/>
            <w:vAlign w:val="bottom"/>
            <w:gridSpan w:val="6"/>
          </w:tcPr>
          <w:p>
            <w:pPr>
              <w:spacing w:after="0"/>
              <w:rPr>
                <w:sz w:val="17"/>
                <w:szCs w:val="17"/>
                <w:color w:val="auto"/>
              </w:rPr>
            </w:pPr>
          </w:p>
        </w:tc>
        <w:tc>
          <w:tcPr>
            <w:tcW w:w="2020" w:type="dxa"/>
            <w:vAlign w:val="bottom"/>
            <w:gridSpan w:val="6"/>
          </w:tcPr>
          <w:p>
            <w:pPr>
              <w:spacing w:after="0"/>
              <w:rPr>
                <w:sz w:val="17"/>
                <w:szCs w:val="17"/>
                <w:color w:val="auto"/>
              </w:rPr>
            </w:pPr>
          </w:p>
        </w:tc>
        <w:tc>
          <w:tcPr>
            <w:tcW w:w="370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0000FF"/>
                <w:w w:val="70"/>
              </w:rPr>
              <w:t>40</w:t>
            </w:r>
          </w:p>
        </w:tc>
        <w:tc>
          <w:tcPr>
            <w:tcW w:w="0" w:type="dxa"/>
            <w:vAlign w:val="bottom"/>
          </w:tcPr>
          <w:p>
            <w:pPr>
              <w:spacing w:after="0"/>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360" w:type="dxa"/>
            <w:vAlign w:val="bottom"/>
          </w:tcPr>
          <w:p>
            <w:pPr>
              <w:spacing w:after="0"/>
              <w:rPr>
                <w:sz w:val="17"/>
                <w:szCs w:val="17"/>
                <w:color w:val="auto"/>
              </w:rPr>
            </w:pP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7120" w:type="dxa"/>
            <w:vAlign w:val="bottom"/>
            <w:gridSpan w:val="1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60" w:type="dxa"/>
            <w:vAlign w:val="bottom"/>
            <w:gridSpan w:val="1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100" w:type="dxa"/>
            <w:vAlign w:val="bottom"/>
            <w:gridSpan w:val="18"/>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60" w:type="dxa"/>
            <w:vAlign w:val="bottom"/>
            <w:gridSpan w:val="20"/>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gridSpan w:val="4"/>
          </w:tcPr>
          <w:p>
            <w:pPr>
              <w:jc w:val="center"/>
              <w:ind w:left="112"/>
              <w:spacing w:after="0" w:line="205" w:lineRule="exact"/>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170180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660" w:top="1440" w:right="2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spacing w:after="0" w:line="132"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acquire new customers and expand our customer reach;</w:t>
      </w:r>
    </w:p>
    <w:p>
      <w:pPr>
        <w:spacing w:after="0" w:line="164" w:lineRule="exact"/>
        <w:rPr>
          <w:rFonts w:ascii="Times New Roman" w:cs="Times New Roman" w:eastAsia="Times New Roman" w:hAnsi="Times New Roman"/>
          <w:sz w:val="18"/>
          <w:szCs w:val="18"/>
          <w:color w:val="auto"/>
        </w:rPr>
      </w:pPr>
    </w:p>
    <w:p>
      <w:pPr>
        <w:ind w:left="640" w:right="20" w:hanging="316"/>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gross profit, net income (loss),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spacing w:after="0" w:line="127"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profits, acquire customers, retain customers, contract with additional partners to utilize the products, or achieve other benefits from our embedded insurance offering;</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distribution channels through additional partnership relationships, digital media, independent agents and referrals;</w:t>
      </w:r>
    </w:p>
    <w:p>
      <w:pPr>
        <w:spacing w:after="0" w:line="164" w:lineRule="exact"/>
        <w:rPr>
          <w:rFonts w:ascii="Times New Roman" w:cs="Times New Roman" w:eastAsia="Times New Roman" w:hAnsi="Times New Roman"/>
          <w:sz w:val="18"/>
          <w:szCs w:val="18"/>
          <w:color w:val="auto"/>
        </w:rPr>
      </w:pPr>
    </w:p>
    <w:p>
      <w:pPr>
        <w:ind w:left="640" w:right="58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 significant long-term competitive advantage through our partnership with Carvana Group, LLC, or Carvana, and other partnerships, such as our partnerships with Hyundai Capital America and Experian;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embedded insurance and other partners;</w:t>
      </w:r>
    </w:p>
    <w:p>
      <w:pPr>
        <w:spacing w:after="0" w:line="164"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 increasing inflation, a potential increase in tariffs or the implementation of new tariffs, a recession and/or disruptions to properly functioning financial and capital markets and interest rates on our business and financial condition;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profitable and extend our capital runway;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 licensed in all states in the United States, or U.S., and the timing of obtaining additional licenses and launching in new states;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efficiency of our telematics and behavioral data, and our ability to gather and leverage existing and additional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materially improve retention rates and our ability to realize benefits from retaining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underwrite risks accurately and charge profitable rates;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business model and improve our capital and marketing efficiency;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improved conversion and decrease the cost of customer acquisition;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and reputation;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efficiently or at all;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 offerings, introduce new products and expand into additional insurance lines;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cross sell our products and attain greater value from each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in our industry;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performance of the markets in which we operate;</w:t>
      </w:r>
    </w:p>
    <w:p>
      <w:pPr>
        <w:spacing w:after="0" w:line="200" w:lineRule="exact"/>
        <w:rPr>
          <w:sz w:val="20"/>
          <w:szCs w:val="20"/>
          <w:color w:val="auto"/>
        </w:rPr>
      </w:pPr>
    </w:p>
    <w:p>
      <w:pPr>
        <w:spacing w:after="0" w:line="22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914" w:right="519" w:bottom="1440" w:gutter="0" w:footer="0" w:header="0"/>
        </w:sectPr>
      </w:pPr>
    </w:p>
    <w:bookmarkStart w:id="3" w:name="page4"/>
    <w:bookmarkEnd w:id="3"/>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 “capital-efficient” business and obtain and maintain desirable levels of reinsurance;</w:t>
      </w:r>
    </w:p>
    <w:p>
      <w:pPr>
        <w:spacing w:after="0" w:line="164" w:lineRule="exact"/>
        <w:rPr>
          <w:rFonts w:ascii="Times New Roman" w:cs="Times New Roman" w:eastAsia="Times New Roman" w:hAnsi="Times New Roman"/>
          <w:sz w:val="18"/>
          <w:szCs w:val="18"/>
          <w:color w:val="auto"/>
        </w:rPr>
      </w:pPr>
    </w:p>
    <w:p>
      <w:pPr>
        <w:ind w:left="640" w:right="40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further reductions in the utilization of reinsurance, which would result in retention of more premium and losses and could cause our capital requirements to increase;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economies of scale;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 or hire personnel, and to offer competitive compensation and benefits;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a vertically integrated customer experience;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utilize telematics to drive better customer satisfaction and retention;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any costs associated therewith;</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 autonomous claims experience;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rate action early and react to changing environments;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risk-based capital requirements;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our Texas county mutual fronting arrangement;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domestically;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other losses;</w:t>
      </w:r>
    </w:p>
    <w:p>
      <w:pPr>
        <w:spacing w:after="0" w:line="164"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changes in the interpretation of laws or regulations by a regulatory authority, specific to the use of artificial intelligence, telematics data and the consent to use telematics data, connected card data, and other sources of data, or relating to taxation including changes in tax regulations or guidance promulgated pursuant to the new legislation implemented in the One Big Beautiful Bill Act;</w:t>
      </w:r>
    </w:p>
    <w:p>
      <w:pPr>
        <w:spacing w:after="0" w:line="124" w:lineRule="exact"/>
        <w:rPr>
          <w:rFonts w:ascii="Times New Roman" w:cs="Times New Roman" w:eastAsia="Times New Roman" w:hAnsi="Times New Roman"/>
          <w:sz w:val="18"/>
          <w:szCs w:val="18"/>
          <w:color w:val="auto"/>
        </w:rPr>
      </w:pPr>
    </w:p>
    <w:p>
      <w:pPr>
        <w:ind w:left="640" w:right="22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cybersecurity threats and prevent, or recover from, a security incident or other significant disruption of our technology systems or those of our partners and third-party service providers;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rates on our available cash and our ability to maintain compliance with our Amended Term Loan (as defined herein);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 over financial reporting;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6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“Root,” “the Company,” “we,” “our,” and “us” refer to Root, Inc. and its subsidiaries.</w:t>
      </w:r>
    </w:p>
    <w:p>
      <w:pPr>
        <w:spacing w:after="0" w:line="71"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0" w:type="dxa"/>
            <w:vAlign w:val="bottom"/>
          </w:tcPr>
          <w:p>
            <w:pPr>
              <w:spacing w:after="0"/>
              <w:rPr>
                <w:sz w:val="1"/>
                <w:szCs w:val="1"/>
                <w:color w:val="auto"/>
              </w:rPr>
            </w:pPr>
          </w:p>
        </w:tc>
      </w:tr>
      <w:tr>
        <w:trPr>
          <w:trHeight w:val="38"/>
        </w:trPr>
        <w:tc>
          <w:tcPr>
            <w:tcW w:w="8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$316.9 and $294.3 at June 30, 2025 and</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5"/>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Short-term investments (amortized cost: $3.5 and $14.8 at June 30, 2025 and December 31, 2024, respectively)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8"/>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Premiums receivable, net of allowance of $8.2 and $9.8 at June 30, 2025 and December 31, 2024, respectively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Reinsurance recoverable and receivable, net of allowance of $0.1 at June 30, 2025 and December 31, 2024</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premiums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9"/>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1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Redeemable convertible preferred stock, $0.0001 par value, 100.0 shares authorized, 14.1 shares issued and</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June 30, 2025 and December 31, 2024 (redemption value of $126.5)</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16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Class A common stock, $0.0001 par value, 1,000.0 shares authorized, 13.6 and 11.1 shares issued and</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3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81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Class B convertible common stock, $0.0001 par value, 269.0 shares authorized, 1.8 and 4.0 shares issued and</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0" w:type="dxa"/>
            <w:vAlign w:val="bottom"/>
          </w:tcPr>
          <w:p>
            <w:pPr>
              <w:spacing w:after="0"/>
              <w:rPr>
                <w:sz w:val="1"/>
                <w:szCs w:val="1"/>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loss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8"/>
        </w:trPr>
        <w:tc>
          <w:tcPr>
            <w:tcW w:w="8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7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8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premiums earned</w:t>
            </w: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5"/>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 income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r>
      <w:tr>
        <w:trPr>
          <w:trHeight w:val="22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5"/>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insurance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5"/>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8"/>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Verdana" w:cs="Verdana" w:eastAsia="Verdana" w:hAnsi="Verdana"/>
                <w:sz w:val="14"/>
                <w:szCs w:val="14"/>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58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5"/>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58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5"/>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2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(both Class A and B)</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1"/>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2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Class A and Class B Convertible</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360" w:type="dxa"/>
            <w:vAlign w:val="bottom"/>
            <w:tcBorders>
              <w:right w:val="single" w:sz="8" w:color="auto"/>
            </w:tcBorders>
            <w:gridSpan w:val="4"/>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360" w:type="dxa"/>
            <w:vAlign w:val="bottom"/>
            <w:tcBorders>
              <w:right w:val="single" w:sz="8" w:color="auto"/>
            </w:tcBorders>
            <w:gridSpan w:val="4"/>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97"/>
              <w:spacing w:after="0" w:line="120"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37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center"/>
              <w:ind w:right="180"/>
              <w:spacing w:after="0" w:line="60" w:lineRule="exact"/>
              <w:rPr>
                <w:sz w:val="20"/>
                <w:szCs w:val="20"/>
                <w:color w:val="auto"/>
              </w:rPr>
            </w:pPr>
            <w:r>
              <w:rPr>
                <w:rFonts w:ascii="Times New Roman" w:cs="Times New Roman" w:eastAsia="Times New Roman" w:hAnsi="Times New Roman"/>
                <w:sz w:val="6"/>
                <w:szCs w:val="6"/>
                <w:b w:val="1"/>
                <w:bCs w:val="1"/>
                <w:color w:val="auto"/>
              </w:rPr>
              <w:t>Other</w:t>
            </w: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8"/>
              <w:spacing w:after="0" w:line="60" w:lineRule="exact"/>
              <w:rPr>
                <w:sz w:val="20"/>
                <w:szCs w:val="20"/>
                <w:color w:val="auto"/>
              </w:rPr>
            </w:pPr>
            <w:r>
              <w:rPr>
                <w:rFonts w:ascii="Times New Roman" w:cs="Times New Roman" w:eastAsia="Times New Roman" w:hAnsi="Times New Roman"/>
                <w:sz w:val="6"/>
                <w:szCs w:val="6"/>
                <w:b w:val="1"/>
                <w:bCs w:val="1"/>
                <w:color w:val="auto"/>
              </w:rPr>
              <w:t>Total</w:t>
            </w: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Class A</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2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04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9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4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stock—option exercises and restricted</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units vesting, net of shares withheld for</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72"/>
        </w:trPr>
        <w:tc>
          <w:tcPr>
            <w:tcW w:w="37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stock—option exercises and restricted</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units vesting, net of shares withheld for</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72"/>
        </w:trPr>
        <w:tc>
          <w:tcPr>
            <w:tcW w:w="37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EQUITY -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20" w:type="dxa"/>
            <w:vAlign w:val="bottom"/>
            <w:tcBorders>
              <w:top w:val="single" w:sz="8" w:color="auto"/>
            </w:tcBorders>
          </w:tcPr>
          <w:p>
            <w:pPr>
              <w:spacing w:after="0"/>
              <w:rPr>
                <w:sz w:val="14"/>
                <w:szCs w:val="14"/>
                <w:color w:val="auto"/>
              </w:rPr>
            </w:pPr>
          </w:p>
        </w:tc>
        <w:tc>
          <w:tcPr>
            <w:tcW w:w="1360" w:type="dxa"/>
            <w:vAlign w:val="bottom"/>
            <w:tcBorders>
              <w:top w:val="single" w:sz="8" w:color="auto"/>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8"/>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Class A and Class B Convertible</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360" w:type="dxa"/>
            <w:vAlign w:val="bottom"/>
            <w:tcBorders>
              <w:right w:val="single" w:sz="8" w:color="auto"/>
            </w:tcBorders>
            <w:gridSpan w:val="4"/>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Convertible Preferred</w:t>
            </w:r>
          </w:p>
        </w:tc>
        <w:tc>
          <w:tcPr>
            <w:tcW w:w="60" w:type="dxa"/>
            <w:vAlign w:val="bottom"/>
          </w:tcPr>
          <w:p>
            <w:pPr>
              <w:spacing w:after="0"/>
              <w:rPr>
                <w:sz w:val="10"/>
                <w:szCs w:val="10"/>
                <w:color w:val="auto"/>
              </w:rPr>
            </w:pPr>
          </w:p>
        </w:tc>
        <w:tc>
          <w:tcPr>
            <w:tcW w:w="206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360" w:type="dxa"/>
            <w:vAlign w:val="bottom"/>
            <w:tcBorders>
              <w:right w:val="single" w:sz="8" w:color="auto"/>
            </w:tcBorders>
            <w:gridSpan w:val="4"/>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5"/>
          </w:tcPr>
          <w:p>
            <w:pPr>
              <w:jc w:val="center"/>
              <w:ind w:right="97"/>
              <w:spacing w:after="0" w:line="120"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37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00"/>
              <w:spacing w:after="0" w:line="60" w:lineRule="exact"/>
              <w:rPr>
                <w:sz w:val="20"/>
                <w:szCs w:val="20"/>
                <w:color w:val="auto"/>
              </w:rPr>
            </w:pPr>
            <w:r>
              <w:rPr>
                <w:rFonts w:ascii="Times New Roman" w:cs="Times New Roman" w:eastAsia="Times New Roman" w:hAnsi="Times New Roman"/>
                <w:sz w:val="6"/>
                <w:szCs w:val="6"/>
                <w:b w:val="1"/>
                <w:bCs w:val="1"/>
                <w:color w:val="auto"/>
              </w:rPr>
              <w:t>Other</w:t>
            </w: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jc w:val="center"/>
              <w:ind w:right="37"/>
              <w:spacing w:after="0" w:line="60" w:lineRule="exact"/>
              <w:rPr>
                <w:sz w:val="20"/>
                <w:szCs w:val="20"/>
                <w:color w:val="auto"/>
              </w:rPr>
            </w:pPr>
            <w:r>
              <w:rPr>
                <w:rFonts w:ascii="Times New Roman" w:cs="Times New Roman" w:eastAsia="Times New Roman" w:hAnsi="Times New Roman"/>
                <w:sz w:val="6"/>
                <w:szCs w:val="6"/>
                <w:b w:val="1"/>
                <w:bCs w:val="1"/>
                <w:color w:val="auto"/>
              </w:rPr>
              <w:t>Total</w:t>
            </w: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Class A</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2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040" w:type="dxa"/>
            <w:vAlign w:val="bottom"/>
            <w:gridSpan w:val="3"/>
          </w:tcPr>
          <w:p>
            <w:pPr>
              <w:jc w:val="right"/>
              <w:ind w:right="160"/>
              <w:spacing w:after="0" w:line="12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9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40" w:type="dxa"/>
            <w:vAlign w:val="bottom"/>
          </w:tcPr>
          <w:p>
            <w:pPr>
              <w:jc w:val="center"/>
              <w:ind w:right="37"/>
              <w:spacing w:after="0" w:line="12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37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stock—option exercises and restricted</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units vesting, net of shares withheld for</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72"/>
        </w:trPr>
        <w:tc>
          <w:tcPr>
            <w:tcW w:w="37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stock—option exercises and restricted</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units vesting, net of shares withheld for</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taxes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72"/>
        </w:trPr>
        <w:tc>
          <w:tcPr>
            <w:tcW w:w="37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stock—share-based compensation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issuance costs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$ 112.0</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left="8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23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5"/>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Premiums receivable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Reinsurance recoverable and receivable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 reserves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premiums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05"/>
        </w:trPr>
        <w:tc>
          <w:tcPr>
            <w:tcW w:w="81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maturities, calls and pay downs of investments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of investments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Capitalization of internally developed software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9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8"/>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05"/>
        </w:trPr>
        <w:tc>
          <w:tcPr>
            <w:tcW w:w="8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 and restricted stock units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5"/>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preferred stock and related warrants issuance costs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9" w:name="page10"/>
    <w:bookmarkEnd w:id="9"/>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143" w:lineRule="exact"/>
        <w:rPr>
          <w:sz w:val="20"/>
          <w:szCs w:val="20"/>
          <w:color w:val="auto"/>
        </w:rPr>
      </w:pPr>
    </w:p>
    <w:p>
      <w:pPr>
        <w:ind w:left="640" w:hanging="634"/>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66" w:lineRule="exact"/>
        <w:rPr>
          <w:sz w:val="20"/>
          <w:szCs w:val="20"/>
          <w:color w:val="auto"/>
        </w:rPr>
      </w:pPr>
    </w:p>
    <w:p>
      <w:pPr>
        <w:ind w:right="360" w:firstLine="318"/>
        <w:spacing w:after="0" w:line="255" w:lineRule="auto"/>
        <w:rPr>
          <w:sz w:val="20"/>
          <w:szCs w:val="20"/>
          <w:color w:val="auto"/>
        </w:rPr>
      </w:pPr>
      <w:r>
        <w:rPr>
          <w:rFonts w:ascii="Times New Roman" w:cs="Times New Roman" w:eastAsia="Times New Roman" w:hAnsi="Times New Roman"/>
          <w:sz w:val="18"/>
          <w:szCs w:val="18"/>
          <w:color w:val="auto"/>
        </w:rPr>
        <w:t>Root, Inc. is a holding company which, directly or indirectly, maintains 100% ownership of each of its subsidiaries, including, among others, Root Insurance Company and Root Property &amp; Casualty Insurance Company, both Ohio-domiciled insurance companies, Root Florida Insurance Company, a Florida-domiciled insurance company, and Root Reinsurance Company, Ltd., a Cayman Islands-domiciled reinsurance company, together with Root, Inc., “we,” “us,” or “our.”</w:t>
      </w:r>
    </w:p>
    <w:p>
      <w:pPr>
        <w:spacing w:after="0" w:line="127"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We were formed in 2015 and began writing personal auto insurance in July 2016. We are a technology company operating primarily a direct-to-consumer model with the majority of our personal insurance customers acquired through partnerships and mobile apps. We offer auto and renters insurance products underwritten by Root Insurance Company and auto insurance only through Root Property &amp; Casualty Insurance Company and Root Florida Insurance Company.</w:t>
      </w:r>
    </w:p>
    <w:p>
      <w:pPr>
        <w:spacing w:after="0" w:line="125" w:lineRule="exact"/>
        <w:rPr>
          <w:sz w:val="20"/>
          <w:szCs w:val="20"/>
          <w:color w:val="auto"/>
        </w:rPr>
      </w:pPr>
    </w:p>
    <w:p>
      <w:pPr>
        <w:ind w:left="640" w:hanging="634"/>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64"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—In our opinion, all adjustments necessary for a fair presentation of the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2024 filed with the Securities and Exchange Commission on February 26, 2025.</w:t>
      </w:r>
    </w:p>
    <w:p>
      <w:pPr>
        <w:spacing w:after="0" w:line="124" w:lineRule="exact"/>
        <w:rPr>
          <w:sz w:val="20"/>
          <w:szCs w:val="20"/>
          <w:color w:val="auto"/>
        </w:rPr>
      </w:pPr>
    </w:p>
    <w:p>
      <w:pPr>
        <w:ind w:right="12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Basis of Consolidation</w:t>
      </w:r>
      <w:r>
        <w:rPr>
          <w:rFonts w:ascii="Times New Roman" w:cs="Times New Roman" w:eastAsia="Times New Roman" w:hAnsi="Times New Roman"/>
          <w:sz w:val="18"/>
          <w:szCs w:val="18"/>
          <w:color w:val="auto"/>
        </w:rPr>
        <w:t>—The unaudited condensed consolidated financial statements include the accounts of Root, Inc. and its subsidiaries,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wholly owned. These financial statements have been prepared in accordance with accounting principles generally accepted in the U.S., or GAAP. All intercompany accounts and transactions have been eliminated.</w:t>
      </w:r>
    </w:p>
    <w:p>
      <w:pPr>
        <w:spacing w:after="0" w:line="120"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unaudited condensed consolidated financial statements requires management to make certain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on our deferred tax assets and the amount of reinsurance recoverable and receivable from reinsurance contracts.</w:t>
      </w:r>
    </w:p>
    <w:p>
      <w:pPr>
        <w:spacing w:after="0" w:line="132" w:lineRule="exact"/>
        <w:rPr>
          <w:sz w:val="20"/>
          <w:szCs w:val="20"/>
          <w:color w:val="auto"/>
        </w:rPr>
      </w:pPr>
    </w:p>
    <w:p>
      <w:pPr>
        <w:ind w:right="46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Legal and Other Contingencies</w:t>
      </w:r>
      <w:r>
        <w:rPr>
          <w:rFonts w:ascii="Times New Roman" w:cs="Times New Roman" w:eastAsia="Times New Roman" w:hAnsi="Times New Roman"/>
          <w:sz w:val="18"/>
          <w:szCs w:val="18"/>
          <w:color w:val="auto"/>
        </w:rPr>
        <w:t>—From time to time, we are party to litigation and legal proceedings relating to our business operations. While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all legal actions is not presently determinable, we do not believe that we are party to any current or pending legal action that if concluded adversely could reasonably be expected to have a material adverse effect on our financial condition or results of operations and cash flow.</w:t>
      </w:r>
    </w:p>
    <w:p>
      <w:pPr>
        <w:spacing w:after="0" w:line="122"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We are contingently liable for possible future assessments under regulatory requirements for insolvencies and impairments of unaffiliated insurance companies.</w:t>
      </w:r>
    </w:p>
    <w:p>
      <w:pPr>
        <w:spacing w:after="0" w:line="108"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—We are a technology company that provides direct-to-consumer insurance products to customers. We operate as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segment that is managed on a consolidated basis. Our Chief Executive Officer is our chief operating decision maker, or CODM. The primary measure the CODM utilizes to manage operations, monitor budget versus actual results, and evaluate financial performance is net income (loss) as reported on the condensed consolidated statements of operations and comprehensive income (loss). This information is regularly provided to the CODM.</w:t>
      </w:r>
    </w:p>
    <w:p>
      <w:pPr>
        <w:spacing w:after="0" w:line="126" w:lineRule="exact"/>
        <w:rPr>
          <w:sz w:val="20"/>
          <w:szCs w:val="20"/>
          <w:color w:val="auto"/>
        </w:rPr>
      </w:pPr>
    </w:p>
    <w:p>
      <w:pPr>
        <w:jc w:val="both"/>
        <w:ind w:right="400" w:firstLine="318"/>
        <w:spacing w:after="0" w:line="259" w:lineRule="auto"/>
        <w:rPr>
          <w:sz w:val="20"/>
          <w:szCs w:val="20"/>
          <w:color w:val="auto"/>
        </w:rPr>
      </w:pPr>
      <w:r>
        <w:rPr>
          <w:rFonts w:ascii="Times New Roman" w:cs="Times New Roman" w:eastAsia="Times New Roman" w:hAnsi="Times New Roman"/>
          <w:sz w:val="18"/>
          <w:szCs w:val="18"/>
          <w:color w:val="auto"/>
        </w:rPr>
        <w:t>The CODM allocates resources based on consolidated expense and forecasted expense information. Significant expenses, which are presented on the condensed consolidated statements of operations and comprehensive income (loss), include loss and loss adjustment expense, sales and marketing, other insurance expense and technology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1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7"/>
          <w:szCs w:val="17"/>
          <w:color w:val="auto"/>
        </w:rPr>
        <w:t>development. Other segment items include expenses that our CODM does not evaluate for purposes of making operating decisions. These items include general and administrative, interest expense, and income tax expense, which can all be found on the condensed consolidated statements of operations and comprehensive income (loss). Assets provided to the CODM are consistent with those reported on the condensed consolidated balance sheets.</w:t>
      </w:r>
    </w:p>
    <w:p>
      <w:pPr>
        <w:spacing w:after="0" w:line="104" w:lineRule="exact"/>
        <w:rPr>
          <w:sz w:val="20"/>
          <w:szCs w:val="20"/>
          <w:color w:val="auto"/>
        </w:rPr>
      </w:pPr>
    </w:p>
    <w:p>
      <w:pPr>
        <w:ind w:right="400" w:firstLine="318"/>
        <w:spacing w:after="0" w:line="306" w:lineRule="auto"/>
        <w:rPr>
          <w:sz w:val="20"/>
          <w:szCs w:val="20"/>
          <w:color w:val="auto"/>
        </w:rPr>
      </w:pPr>
      <w:r>
        <w:rPr>
          <w:rFonts w:ascii="Times New Roman" w:cs="Times New Roman" w:eastAsia="Times New Roman" w:hAnsi="Times New Roman"/>
          <w:sz w:val="17"/>
          <w:szCs w:val="17"/>
          <w:b w:val="1"/>
          <w:bCs w:val="1"/>
          <w:color w:val="auto"/>
        </w:rPr>
        <w:t>Cash, Cash Equivalents and Restricted Cash</w:t>
      </w:r>
      <w:r>
        <w:rPr>
          <w:rFonts w:ascii="Times New Roman" w:cs="Times New Roman" w:eastAsia="Times New Roman" w:hAnsi="Times New Roman"/>
          <w:sz w:val="17"/>
          <w:szCs w:val="17"/>
          <w:color w:val="auto"/>
        </w:rPr>
        <w:t>—The following table provides a reconciliation of cash, cash equivalents and restricted cash reported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the condensed consolidated balance sheets that sum to the total of the same such amount in the condensed consolidated statements of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6"/>
                <w:szCs w:val="16"/>
                <w:color w:val="auto"/>
              </w:rPr>
            </w:pPr>
          </w:p>
        </w:tc>
      </w:tr>
      <w:tr>
        <w:trPr>
          <w:trHeight w:val="38"/>
        </w:trPr>
        <w:tc>
          <w:tcPr>
            <w:tcW w:w="80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1"/>
        </w:trPr>
        <w:tc>
          <w:tcPr>
            <w:tcW w:w="80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5"/>
        </w:trPr>
        <w:tc>
          <w:tcPr>
            <w:tcW w:w="8020" w:type="dxa"/>
            <w:vAlign w:val="bottom"/>
          </w:tcPr>
          <w:p>
            <w:pPr>
              <w:spacing w:after="0"/>
              <w:rPr>
                <w:sz w:val="19"/>
                <w:szCs w:val="19"/>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020" w:type="dxa"/>
            <w:vAlign w:val="bottom"/>
          </w:tcPr>
          <w:p>
            <w:pPr>
              <w:spacing w:after="0"/>
              <w:rPr>
                <w:sz w:val="3"/>
                <w:szCs w:val="3"/>
                <w:color w:val="auto"/>
              </w:rPr>
            </w:pPr>
          </w:p>
        </w:tc>
        <w:tc>
          <w:tcPr>
            <w:tcW w:w="3220" w:type="dxa"/>
            <w:vAlign w:val="bottom"/>
            <w:tcBorders>
              <w:bottom w:val="single" w:sz="8" w:color="auto"/>
            </w:tcBorders>
            <w:gridSpan w:val="5"/>
          </w:tcPr>
          <w:p>
            <w:pPr>
              <w:spacing w:after="0"/>
              <w:rPr>
                <w:sz w:val="3"/>
                <w:szCs w:val="3"/>
                <w:color w:val="auto"/>
              </w:rPr>
            </w:pPr>
          </w:p>
        </w:tc>
      </w:tr>
      <w:tr>
        <w:trPr>
          <w:trHeight w:val="181"/>
        </w:trPr>
        <w:tc>
          <w:tcPr>
            <w:tcW w:w="8020" w:type="dxa"/>
            <w:vAlign w:val="bottom"/>
          </w:tcPr>
          <w:p>
            <w:pPr>
              <w:spacing w:after="0"/>
              <w:rPr>
                <w:sz w:val="15"/>
                <w:szCs w:val="15"/>
                <w:color w:val="auto"/>
              </w:rPr>
            </w:pPr>
          </w:p>
        </w:tc>
        <w:tc>
          <w:tcPr>
            <w:tcW w:w="3220" w:type="dxa"/>
            <w:vAlign w:val="bottom"/>
            <w:gridSpan w:val="5"/>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8"/>
        </w:trPr>
        <w:tc>
          <w:tcPr>
            <w:tcW w:w="8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Total cash, cash equivalents and restricted cash shown in the condensed consolidated statements of cash flows</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right="240" w:firstLine="318"/>
        <w:spacing w:after="0" w:line="261" w:lineRule="auto"/>
        <w:rPr>
          <w:sz w:val="20"/>
          <w:szCs w:val="20"/>
          <w:color w:val="auto"/>
        </w:rPr>
      </w:pPr>
      <w:r>
        <w:rPr>
          <w:rFonts w:ascii="Times New Roman" w:cs="Times New Roman" w:eastAsia="Times New Roman" w:hAnsi="Times New Roman"/>
          <w:sz w:val="18"/>
          <w:szCs w:val="18"/>
          <w:b w:val="1"/>
          <w:bCs w:val="1"/>
          <w:color w:val="auto"/>
        </w:rPr>
        <w:t>Deferred Policy Acquisition Costs</w:t>
      </w:r>
      <w:r>
        <w:rPr>
          <w:rFonts w:ascii="Times New Roman" w:cs="Times New Roman" w:eastAsia="Times New Roman" w:hAnsi="Times New Roman"/>
          <w:sz w:val="18"/>
          <w:szCs w:val="18"/>
          <w:color w:val="auto"/>
        </w:rPr>
        <w:t>—Deferred policy acquisition costs, net of accumulated amortization, was $38.7 million and $29.3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2025 and December 31, 2024, respectively. We amortized deferred policy acquisition costs of $18.3 million and $29.7 million for the three and six months ended June 30, 2025, respectively, and $9.1 million and $15.7 million for the three and six months ended June 30, 2024, respectively.</w:t>
      </w:r>
    </w:p>
    <w:p>
      <w:pPr>
        <w:spacing w:after="0" w:line="120"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b w:val="1"/>
          <w:bCs w:val="1"/>
          <w:color w:val="auto"/>
        </w:rPr>
        <w:t>Performance-Based Restricted Stock Units</w:t>
      </w:r>
      <w:r>
        <w:rPr>
          <w:rFonts w:ascii="Times New Roman" w:cs="Times New Roman" w:eastAsia="Times New Roman" w:hAnsi="Times New Roman"/>
          <w:sz w:val="18"/>
          <w:szCs w:val="18"/>
          <w:color w:val="auto"/>
        </w:rPr>
        <w:t>—In the second quarter of 2025, we granted 0.2 million performance-based restricted stock units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and certain key employees as part of our equity compensation plan. The actual number of performance-based restricted stock units can vary from zero to 200% of the target depending on goal achievement relative to a gross accident period loss ratio and policies in force goal matrix. The overall performance period begins on January 1, 2025 and ends on December 31, 2027 and is divided into three sub-performance periods, each beginning on January 1, 2025 and ending on December 31 of 2025, 2026, and 2027, respectively. These overlapping sub-performance periods are one, two, and three years in duration. Expense for each sub-performance period is recognized ratably over the requisite service period. Awards earned in any sub-performance period vest on the Compensation Committee Certification date, which is expected to be in the first quarter of the subsequent year.</w:t>
      </w:r>
    </w:p>
    <w:p>
      <w:pPr>
        <w:spacing w:after="0" w:line="136" w:lineRule="exact"/>
        <w:rPr>
          <w:sz w:val="20"/>
          <w:szCs w:val="20"/>
          <w:color w:val="auto"/>
        </w:rPr>
      </w:pPr>
    </w:p>
    <w:p>
      <w:pPr>
        <w:ind w:right="460" w:firstLine="318"/>
        <w:spacing w:after="0" w:line="282" w:lineRule="auto"/>
        <w:rPr>
          <w:sz w:val="20"/>
          <w:szCs w:val="20"/>
          <w:color w:val="auto"/>
        </w:rPr>
      </w:pPr>
      <w:r>
        <w:rPr>
          <w:rFonts w:ascii="Times New Roman" w:cs="Times New Roman" w:eastAsia="Times New Roman" w:hAnsi="Times New Roman"/>
          <w:sz w:val="17"/>
          <w:szCs w:val="17"/>
          <w:color w:val="auto"/>
        </w:rPr>
        <w:t>The performance-based restricted stock units expense is recognized based on the grant date fair value of the award, which was determined using the Company’s close price as of the grant date. This expense is recognized using a graded vesting approach. We assess the probability of the performance conditions being met on a quarterly basis and begin recognizing expense only once it is deemed probable that the performance criteria will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1"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66"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short-term investments and available-for-sale fixed maturity securities at June 30, 2025 and December 31, 2024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6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6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5"/>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8"/>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8"/>
        </w:trPr>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Gross Unrealized Gains</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60" w:type="dxa"/>
            <w:vAlign w:val="bottom"/>
            <w:tcBorders>
              <w:bottom w:val="single" w:sz="8" w:color="auto"/>
            </w:tcBorders>
            <w:gridSpan w:val="3"/>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5"/>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8"/>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8"/>
        </w:trPr>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Management reviewed the available-for-sale fixed maturity securities and short-term investments at each balance sheet date to consider whether it was necessary to recognize a credit loss as of June 30, 2025 and December 31, 2024. We do not intend to sell the securities and it is not more likely than not that we will be required to sell the securities before recovery. Management concluded that the unrealized losses on the available-for-sale fixed maturity securities and short-term investments were due to non-credit related factors and, therefore, there was no allowance for credit loss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3" w:lineRule="exact"/>
        <w:rPr>
          <w:sz w:val="20"/>
          <w:szCs w:val="20"/>
          <w:color w:val="auto"/>
        </w:rPr>
      </w:pPr>
    </w:p>
    <w:p>
      <w:pPr>
        <w:ind w:right="5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6"/>
              <w:spacing w:after="0" w:line="13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6"/>
              <w:spacing w:after="0" w:line="13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8"/>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6"/>
              <w:spacing w:after="0" w:line="13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6"/>
              <w:spacing w:after="0" w:line="13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65"/>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5"/>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8"/>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68" w:lineRule="exact"/>
        <w:rPr>
          <w:sz w:val="20"/>
          <w:szCs w:val="20"/>
          <w:color w:val="auto"/>
        </w:rPr>
      </w:pPr>
    </w:p>
    <w:p>
      <w:pPr>
        <w:ind w:right="340" w:firstLine="318"/>
        <w:spacing w:after="0" w:line="304" w:lineRule="auto"/>
        <w:rPr>
          <w:sz w:val="20"/>
          <w:szCs w:val="20"/>
          <w:color w:val="auto"/>
        </w:rPr>
      </w:pPr>
      <w:r>
        <w:rPr>
          <w:rFonts w:ascii="Times New Roman" w:cs="Times New Roman" w:eastAsia="Times New Roman" w:hAnsi="Times New Roman"/>
          <w:sz w:val="17"/>
          <w:szCs w:val="17"/>
          <w:color w:val="auto"/>
        </w:rPr>
        <w:t>As of June 30, 2025 and December 31, 2024, other investments related to our private equity investments were $4.4 million. There were no realized or unrealized gains or losses or impairment losses recognized on private equity investments for the three and six months ended June 30, 2025 and 2024.</w:t>
      </w:r>
    </w:p>
    <w:p>
      <w:pPr>
        <w:spacing w:after="0" w:line="8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There were no realized gains or losses on short-term investments and available-for-sale fixed maturities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13"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short-term investments and available-for-sale fixed maturity securities by contractual maturity at June 30,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4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7"/>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38"/>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6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6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five years through 10 years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6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may have the right to call or prepay obligations with or without call or prepayment penalties.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and six months ended June 30,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4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2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fixed maturities and short-term investments</w:t>
            </w: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3.6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cash and cash equivalents</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8"/>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9.9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5"/>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9.4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credit ratings of short-term investments and available-for-sale fixed maturity securities at June 30, 2025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6"/>
              <w:spacing w:after="0" w:line="128"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1"/>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19"/>
                <w:szCs w:val="19"/>
                <w:color w:val="auto"/>
              </w:rPr>
            </w:pP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5"/>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0"/>
                <w:szCs w:val="10"/>
                <w:color w:val="auto"/>
              </w:rPr>
            </w:pP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6"/>
              <w:spacing w:after="0" w:line="126"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9"/>
                <w:szCs w:val="19"/>
                <w:color w:val="auto"/>
              </w:rPr>
            </w:pPr>
          </w:p>
        </w:tc>
        <w:tc>
          <w:tcPr>
            <w:tcW w:w="1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8"/>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1" w:lineRule="exact"/>
        <w:rPr>
          <w:sz w:val="20"/>
          <w:szCs w:val="20"/>
          <w:color w:val="auto"/>
        </w:rPr>
      </w:pPr>
    </w:p>
    <w:p>
      <w:pPr>
        <w:ind w:left="640" w:hanging="634"/>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provide information about our financial assets measured and reported at fair value as of June 30, 2025 and December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gridSpan w:val="3"/>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5"/>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gridSpan w:val="3"/>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maturities:</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5"/>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5"/>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8"/>
        </w:trPr>
        <w:tc>
          <w:tcPr>
            <w:tcW w:w="47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maturities</w:t>
            </w:r>
          </w:p>
        </w:tc>
        <w:tc>
          <w:tcPr>
            <w:tcW w:w="10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192"/>
        </w:trPr>
        <w:tc>
          <w:tcPr>
            <w:tcW w:w="4700" w:type="dxa"/>
            <w:vAlign w:val="bottom"/>
          </w:tcPr>
          <w:p>
            <w:pPr>
              <w:ind w:left="440"/>
              <w:spacing w:after="0" w:line="192" w:lineRule="exact"/>
              <w:rPr>
                <w:sz w:val="20"/>
                <w:szCs w:val="20"/>
                <w:color w:val="auto"/>
              </w:rPr>
            </w:pPr>
            <w:r>
              <w:rPr>
                <w:rFonts w:ascii="Times New Roman" w:cs="Times New Roman" w:eastAsia="Times New Roman" w:hAnsi="Times New Roman"/>
                <w:sz w:val="18"/>
                <w:szCs w:val="18"/>
                <w:color w:val="auto"/>
              </w:rPr>
              <w:t>Total assets at fair value</w:t>
            </w:r>
          </w:p>
        </w:tc>
        <w:tc>
          <w:tcPr>
            <w:tcW w:w="1060" w:type="dxa"/>
            <w:vAlign w:val="bottom"/>
            <w:tcBorders>
              <w:top w:val="single" w:sz="8" w:color="auto"/>
              <w:bottom w:val="single" w:sz="8" w:color="auto"/>
            </w:tcBorders>
          </w:tcPr>
          <w:p>
            <w:pPr>
              <w:jc w:val="right"/>
              <w:ind w:right="858"/>
              <w:spacing w:after="0" w:line="19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401.0</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18"/>
              <w:spacing w:after="0" w:line="19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978"/>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672.2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gridSpan w:val="3"/>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5"/>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gridSpan w:val="3"/>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maturities:</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5"/>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5"/>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9"/>
        </w:trPr>
        <w:tc>
          <w:tcPr>
            <w:tcW w:w="47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maturities</w:t>
            </w:r>
          </w:p>
        </w:tc>
        <w:tc>
          <w:tcPr>
            <w:tcW w:w="10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8"/>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60" w:type="dxa"/>
            <w:vAlign w:val="bottom"/>
            <w:tcBorders>
              <w:top w:val="single" w:sz="8" w:color="auto"/>
              <w:bottom w:val="single" w:sz="8" w:color="auto"/>
            </w:tcBorders>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168"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June 30, 2025 and December 31, 2024, the carrying amounts and fair values of these financial instruments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280" w:type="dxa"/>
            <w:vAlign w:val="bottom"/>
          </w:tcPr>
          <w:p>
            <w:pPr>
              <w:spacing w:after="0"/>
              <w:rPr>
                <w:sz w:val="13"/>
                <w:szCs w:val="13"/>
                <w:color w:val="auto"/>
              </w:rPr>
            </w:pPr>
          </w:p>
        </w:tc>
        <w:tc>
          <w:tcPr>
            <w:tcW w:w="15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60" w:type="dxa"/>
            <w:vAlign w:val="bottom"/>
            <w:gridSpan w:val="2"/>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w w:val="99"/>
              </w:rPr>
              <w:t>Estimated Fair Value as of</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65"/>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1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65"/>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3"/>
          </w:tcPr>
          <w:p>
            <w:pPr>
              <w:jc w:val="right"/>
              <w:ind w:right="112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200.1</w:t>
            </w:r>
          </w:p>
        </w:tc>
        <w:tc>
          <w:tcPr>
            <w:tcW w:w="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204.6</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200.1</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amounts of other short-term financial instruments approximates their fair value due to their short-term nature.</w:t>
      </w:r>
    </w:p>
    <w:p>
      <w:pPr>
        <w:spacing w:after="0" w:line="162"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AND LOSS ADJUSTMENT EXPENSE RESERVES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provides a reconciliation of the beginning and ending reserve balances for loss and LAE, net of reinsurance: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2"/>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6"/>
                <w:szCs w:val="16"/>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January 1</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reserves, January 1</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05"/>
        </w:trPr>
        <w:tc>
          <w:tcPr>
            <w:tcW w:w="8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incurred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incurred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05"/>
        </w:trPr>
        <w:tc>
          <w:tcPr>
            <w:tcW w:w="8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paid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paid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1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reserves, June 30</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June 30</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Incurred losses and LAE attributable to prior accident years was a decrease of $14.0 million and $4.6 million for the six months ended June 30, 2025 and 2024, respectively. For the six months ended June 30, 2025, the development of incurred losses and LAE related to prior periods was primarily driven by lower-than-expected reported losses and LAE from accident year 2024 on both liability and physical damage coverages. For the six months ended June 30, 2024, the development of incurred losses and LAE related to prior periods was primarily driven by lower-than-expected reported losses and LAE from accident year 2023 on both liability and physical damage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1" w:lineRule="exact"/>
        <w:rPr>
          <w:sz w:val="20"/>
          <w:szCs w:val="20"/>
          <w:color w:val="auto"/>
        </w:rPr>
      </w:pPr>
    </w:p>
    <w:p>
      <w:pPr>
        <w:ind w:left="680" w:hanging="674"/>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6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reflects amounts affecting the condensed consolidated statements of operations and comprehensive income (loss) for reinsurance for the three and six months ended June 30,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written:</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Assumed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Ceded</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 written</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Assumed</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Ceded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8"/>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Losses and LAE incurred:</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Assumed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Ceded</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LAE incurred</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108" w:lineRule="exact"/>
        <w:rPr>
          <w:sz w:val="20"/>
          <w:szCs w:val="20"/>
          <w:color w:val="auto"/>
        </w:rPr>
      </w:pPr>
    </w:p>
    <w:p>
      <w:pPr>
        <w:ind w:left="640" w:hanging="634"/>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66"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In October 2024, we entered into a $200.0 million five-year term loan, or Amended Term Loan, with the principal amount due and payable upon maturity on October 29, 2030. Interest is payable quarterly and determined on a floating interest rate calculated on the Secured Overnight Financing Rate with a 1.0% floor, plus an applicable margin ranging from 5.25% to 6.00% based upon the debt-to-capital ratio payable quarterly. The Amended Term Loan can be repaid at any time through the maturity date as long as we provide at least three business days written notice and a prepayment premium of 2.00% applicable between October 29, 2024 to October 28, 2025, 1.00% applicable between October 29, 2025 to October 25, 2026, and no prepayment premium thereafter.</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the carrying value of long-term debt as of June 30, 2025 and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680" w:type="dxa"/>
            <w:vAlign w:val="bottom"/>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7680" w:type="dxa"/>
            <w:vAlign w:val="bottom"/>
          </w:tcPr>
          <w:p>
            <w:pPr>
              <w:spacing w:after="0"/>
              <w:rPr>
                <w:sz w:val="16"/>
                <w:szCs w:val="16"/>
                <w:color w:val="auto"/>
              </w:rPr>
            </w:pPr>
          </w:p>
        </w:tc>
        <w:tc>
          <w:tcPr>
            <w:tcW w:w="2740" w:type="dxa"/>
            <w:vAlign w:val="bottom"/>
            <w:gridSpan w:val="4"/>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Pr>
          <w:p>
            <w:pPr>
              <w:spacing w:after="0"/>
              <w:rPr>
                <w:sz w:val="16"/>
                <w:szCs w:val="16"/>
                <w:color w:val="auto"/>
              </w:rPr>
            </w:pPr>
          </w:p>
        </w:tc>
      </w:tr>
      <w:tr>
        <w:trPr>
          <w:trHeight w:val="251"/>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w:t>
            </w:r>
          </w:p>
        </w:tc>
        <w:tc>
          <w:tcPr>
            <w:tcW w:w="1300" w:type="dxa"/>
            <w:vAlign w:val="bottom"/>
            <w:tcBorders>
              <w:bottom w:val="single" w:sz="8" w:color="CCEEFF"/>
            </w:tcBorders>
            <w:shd w:val="clear" w:color="auto" w:fill="CCEEFF"/>
          </w:tcPr>
          <w:p>
            <w:pPr>
              <w:jc w:val="right"/>
              <w:ind w:right="112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
        </w:trPr>
        <w:tc>
          <w:tcPr>
            <w:tcW w:w="7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8"/>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top w:val="single" w:sz="8" w:color="auto"/>
              <w:bottom w:val="single" w:sz="8" w:color="auto"/>
            </w:tcBorders>
          </w:tcPr>
          <w:p>
            <w:pPr>
              <w:jc w:val="right"/>
              <w:ind w:right="112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200.1</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0"/>
        </w:trPr>
        <w:tc>
          <w:tcPr>
            <w:tcW w:w="7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1" w:lineRule="exact"/>
        <w:rPr>
          <w:sz w:val="20"/>
          <w:szCs w:val="20"/>
          <w:color w:val="auto"/>
        </w:rPr>
      </w:pPr>
    </w:p>
    <w:p>
      <w:pPr>
        <w:ind w:left="640" w:hanging="634"/>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consolidated effective tax rate was zero for the three and six months ended June 30, 2025 and 2024. The difference between these rates and the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rate of 21% was primarily due to a full valuation allowance on our U.S. deferred tax assets.</w:t>
      </w:r>
    </w:p>
    <w:p>
      <w:pPr>
        <w:spacing w:after="0" w:line="145"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and December 31, 2024, we did not have any unrecognized tax benefits for uncertain tax positions and had no interest or penalties related to uncertain tax positions.</w:t>
      </w:r>
    </w:p>
    <w:p>
      <w:pPr>
        <w:spacing w:after="0" w:line="110"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In July 2025, the One Big Beautiful Bill Act of 2025, or OBBBA, was enacted in the U.S. which, among other things, changes certain provision in the U.S. Tax Code. We do not expect the OBBBA to have a material impact on our results of operations or financial condition, and is not expected to have a material impact on the Notes to Condensed Consolidated Financial Statements.</w:t>
      </w:r>
    </w:p>
    <w:p>
      <w:pPr>
        <w:spacing w:after="0" w:line="123" w:lineRule="exact"/>
        <w:rPr>
          <w:sz w:val="20"/>
          <w:szCs w:val="20"/>
          <w:color w:val="auto"/>
        </w:rPr>
      </w:pPr>
    </w:p>
    <w:p>
      <w:pPr>
        <w:ind w:left="640" w:hanging="634"/>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8" w:lineRule="exact"/>
        <w:rPr>
          <w:sz w:val="20"/>
          <w:szCs w:val="20"/>
          <w:color w:val="auto"/>
        </w:rPr>
      </w:pPr>
    </w:p>
    <w:p>
      <w:pPr>
        <w:ind w:right="360" w:firstLine="318"/>
        <w:spacing w:after="0" w:line="259" w:lineRule="auto"/>
        <w:rPr>
          <w:sz w:val="20"/>
          <w:szCs w:val="20"/>
          <w:color w:val="auto"/>
        </w:rPr>
      </w:pPr>
      <w:r>
        <w:rPr>
          <w:rFonts w:ascii="Times New Roman" w:cs="Times New Roman" w:eastAsia="Times New Roman" w:hAnsi="Times New Roman"/>
          <w:sz w:val="18"/>
          <w:szCs w:val="18"/>
          <w:color w:val="auto"/>
        </w:rPr>
        <w:t>In October 2021, we issued Carvana eight tranches of warrants, comprised of three tranches of “short-term warrants” and five tranches of “long-term warrants,” with the opportunity to purchase a maximum of 7.2 million shares of Class A common stock. The short-term and long-term warrants have expiration dates of September 1, 2025 and September 1, 2027, respectively.</w:t>
      </w:r>
    </w:p>
    <w:p>
      <w:pPr>
        <w:spacing w:after="0" w:line="12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2025, all of the short-term warrants have vested and all of the respective compensation cost has been recognized. While the short-term warrants are vested and outstanding, it is not a possible outcome for the long-term warrants to also vest, so they are considered not probable of vesting. If, however, the short-term warrants expire unexercised during 2025, and at that time certain long-term warrants become probable of vesting, we would recognize a cumulative warrant expense catch-up in other insurance expense considering the probability of and progress toward achieving the long-term warrant policy origination milestones.</w:t>
      </w:r>
    </w:p>
    <w:p>
      <w:pPr>
        <w:spacing w:after="0" w:line="132"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We recognized warrant compensation expense related to these equity-classified warrants based on policies originating through the integrated automobile insurance solution for Carvana’s online buying platform, or Integrated Platform. All of these warrants are out-of-the-money and therefore have no intrinsic value as of June 30, 2025.</w:t>
      </w:r>
    </w:p>
    <w:p>
      <w:pPr>
        <w:spacing w:after="0" w:line="125"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We recognized warrant compensation expense of zero and $1.0 million for the three months ended June 30, 2025 and 2024, respectively. We recognized warrant compensation expense of zero and $3.8 million for the six months ended June 30, 2025 and 2024, respectively. Warrant compensation expense is recorded in other insurance expense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other key terms of the warrants: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8"/>
        </w:trPr>
        <w:tc>
          <w:tcPr>
            <w:tcW w:w="3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3"/>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w w:val="97"/>
              </w:rPr>
              <w:t>Short-Term</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3</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r>
      <w:tr>
        <w:trPr>
          <w:trHeight w:val="305"/>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Short-Term</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7"/>
        </w:trPr>
        <w:tc>
          <w:tcPr>
            <w:tcW w:w="3900" w:type="dxa"/>
            <w:vAlign w:val="bottom"/>
            <w:gridSpan w:val="2"/>
          </w:tcPr>
          <w:p>
            <w:pPr>
              <w:jc w:val="right"/>
              <w:ind w:right="3080"/>
              <w:spacing w:after="0"/>
              <w:rPr>
                <w:sz w:val="20"/>
                <w:szCs w:val="20"/>
                <w:color w:val="auto"/>
              </w:rPr>
            </w:pPr>
            <w:r>
              <w:rPr>
                <w:rFonts w:ascii="Times New Roman" w:cs="Times New Roman" w:eastAsia="Times New Roman" w:hAnsi="Times New Roman"/>
                <w:sz w:val="18"/>
                <w:szCs w:val="18"/>
                <w:color w:val="auto"/>
                <w:w w:val="96"/>
              </w:rPr>
              <w:t>Long-Term</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3</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4</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r>
      <w:tr>
        <w:trPr>
          <w:trHeight w:val="265"/>
        </w:trPr>
        <w:tc>
          <w:tcPr>
            <w:tcW w:w="3900" w:type="dxa"/>
            <w:vAlign w:val="bottom"/>
            <w:gridSpan w:val="2"/>
          </w:tcPr>
          <w:p>
            <w:pPr>
              <w:jc w:val="right"/>
              <w:ind w:right="3060"/>
              <w:spacing w:after="0"/>
              <w:rPr>
                <w:sz w:val="20"/>
                <w:szCs w:val="20"/>
                <w:color w:val="auto"/>
              </w:rPr>
            </w:pPr>
            <w:r>
              <w:rPr>
                <w:rFonts w:ascii="Times New Roman" w:cs="Times New Roman" w:eastAsia="Times New Roman" w:hAnsi="Times New Roman"/>
                <w:sz w:val="18"/>
                <w:szCs w:val="18"/>
                <w:color w:val="auto"/>
              </w:rPr>
              <w:t>Tranche 5</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305"/>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Long-Term</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Shares Issued</w:t>
            </w:r>
          </w:p>
        </w:tc>
        <w:tc>
          <w:tcPr>
            <w:tcW w:w="18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Unrecognized</w:t>
            </w: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00" w:type="dxa"/>
            <w:vAlign w:val="bottom"/>
            <w:gridSpan w:val="2"/>
            <w:vMerge w:val="continue"/>
          </w:tcPr>
          <w:p>
            <w:pPr>
              <w:spacing w:after="0"/>
              <w:rPr>
                <w:sz w:val="13"/>
                <w:szCs w:val="13"/>
                <w:color w:val="auto"/>
              </w:rPr>
            </w:pPr>
          </w:p>
        </w:tc>
        <w:tc>
          <w:tcPr>
            <w:tcW w:w="13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 Costs</w:t>
            </w:r>
          </w:p>
        </w:tc>
        <w:tc>
          <w:tcPr>
            <w:tcW w:w="1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7"/>
                <w:szCs w:val="17"/>
                <w:color w:val="auto"/>
              </w:rPr>
            </w:pPr>
          </w:p>
        </w:tc>
        <w:tc>
          <w:tcPr>
            <w:tcW w:w="348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Vesting Condition</w:t>
            </w:r>
          </w:p>
        </w:tc>
        <w:tc>
          <w:tcPr>
            <w:tcW w:w="0" w:type="dxa"/>
            <w:vAlign w:val="bottom"/>
          </w:tcPr>
          <w:p>
            <w:pPr>
              <w:spacing w:after="0"/>
              <w:rPr>
                <w:sz w:val="1"/>
                <w:szCs w:val="1"/>
                <w:color w:val="auto"/>
              </w:rPr>
            </w:pPr>
          </w:p>
        </w:tc>
      </w:tr>
      <w:tr>
        <w:trPr>
          <w:trHeight w:val="24"/>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8"/>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Completing the Integrated Platform</w:t>
            </w:r>
          </w:p>
        </w:tc>
        <w:tc>
          <w:tcPr>
            <w:tcW w:w="0" w:type="dxa"/>
            <w:vAlign w:val="bottom"/>
          </w:tcPr>
          <w:p>
            <w:pPr>
              <w:spacing w:after="0"/>
              <w:rPr>
                <w:sz w:val="1"/>
                <w:szCs w:val="1"/>
                <w:color w:val="auto"/>
              </w:rPr>
            </w:pPr>
          </w:p>
        </w:tc>
      </w:t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50,000 policy originations</w:t>
            </w:r>
          </w:p>
        </w:tc>
        <w:tc>
          <w:tcPr>
            <w:tcW w:w="0" w:type="dxa"/>
            <w:vAlign w:val="bottom"/>
          </w:tcPr>
          <w:p>
            <w:pPr>
              <w:spacing w:after="0"/>
              <w:rPr>
                <w:sz w:val="1"/>
                <w:szCs w:val="1"/>
                <w:color w:val="auto"/>
              </w:rPr>
            </w:pPr>
          </w:p>
        </w:tc>
      </w:t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75,000 policy originations</w:t>
            </w:r>
          </w:p>
        </w:tc>
        <w:tc>
          <w:tcPr>
            <w:tcW w:w="0" w:type="dxa"/>
            <w:vAlign w:val="bottom"/>
          </w:tcPr>
          <w:p>
            <w:pPr>
              <w:spacing w:after="0"/>
              <w:rPr>
                <w:sz w:val="1"/>
                <w:szCs w:val="1"/>
                <w:color w:val="auto"/>
              </w:rPr>
            </w:pPr>
          </w:p>
        </w:tc>
      </w:tr>
      <w:tr>
        <w:trPr>
          <w:trHeight w:val="26"/>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100,000 policy originations</w:t>
            </w:r>
          </w:p>
        </w:tc>
        <w:tc>
          <w:tcPr>
            <w:tcW w:w="0" w:type="dxa"/>
            <w:vAlign w:val="bottom"/>
          </w:tcPr>
          <w:p>
            <w:pPr>
              <w:spacing w:after="0"/>
              <w:rPr>
                <w:sz w:val="1"/>
                <w:szCs w:val="1"/>
                <w:color w:val="auto"/>
              </w:rPr>
            </w:pPr>
          </w:p>
        </w:tc>
      </w:t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200,000 policy originations</w:t>
            </w:r>
          </w:p>
        </w:tc>
        <w:tc>
          <w:tcPr>
            <w:tcW w:w="0" w:type="dxa"/>
            <w:vAlign w:val="bottom"/>
          </w:tcPr>
          <w:p>
            <w:pPr>
              <w:spacing w:after="0"/>
              <w:rPr>
                <w:sz w:val="1"/>
                <w:szCs w:val="1"/>
                <w:color w:val="auto"/>
              </w:rPr>
            </w:pPr>
          </w:p>
        </w:tc>
      </w:t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300,000 policy originations</w:t>
            </w:r>
          </w:p>
        </w:tc>
        <w:tc>
          <w:tcPr>
            <w:tcW w:w="0" w:type="dxa"/>
            <w:vAlign w:val="bottom"/>
          </w:tcPr>
          <w:p>
            <w:pPr>
              <w:spacing w:after="0"/>
              <w:rPr>
                <w:sz w:val="1"/>
                <w:szCs w:val="1"/>
                <w:color w:val="auto"/>
              </w:rPr>
            </w:pPr>
          </w:p>
        </w:tc>
      </w:t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400,000 policy originations</w:t>
            </w:r>
          </w:p>
        </w:tc>
        <w:tc>
          <w:tcPr>
            <w:tcW w:w="0" w:type="dxa"/>
            <w:vAlign w:val="bottom"/>
          </w:tcPr>
          <w:p>
            <w:pPr>
              <w:spacing w:after="0"/>
              <w:rPr>
                <w:sz w:val="1"/>
                <w:szCs w:val="1"/>
                <w:color w:val="auto"/>
              </w:rPr>
            </w:pPr>
          </w:p>
        </w:tc>
      </w:tr>
      <w:tr>
        <w:trPr>
          <w:trHeight w:val="265"/>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500,000 policy originations</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-2254250</wp:posOffset>
            </wp:positionV>
            <wp:extent cx="7134860" cy="176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-1909445</wp:posOffset>
            </wp:positionV>
            <wp:extent cx="7134860"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-1572895</wp:posOffset>
            </wp:positionV>
            <wp:extent cx="7134860" cy="193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-1219200</wp:posOffset>
            </wp:positionV>
            <wp:extent cx="7134860"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-882650</wp:posOffset>
            </wp:positionV>
            <wp:extent cx="7134860" cy="168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-546100</wp:posOffset>
            </wp:positionV>
            <wp:extent cx="7134860" cy="168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-209550</wp:posOffset>
            </wp:positionV>
            <wp:extent cx="7134860" cy="193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900" w:space="120"/>
            <w:col w:w="6220"/>
          </w:cols>
          <w:pgMar w:left="320" w:top="1440" w:right="339" w:bottom="1440" w:gutter="0" w:footer="0" w:header="0"/>
        </w:sect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We maintain an equity incentive plan, or the Plan, for the issuance and grant of equity awards (restricted stock, service-based restricted stock units, performance-based restricted stock units, market-based restricted stock units, and incentive and nonqualified stock options) to our officers, directors, and employees. As of June 30, 2025, we had 1.7 million common shares available for issuance under the Plan.</w:t>
      </w:r>
    </w:p>
    <w:p>
      <w:pPr>
        <w:spacing w:after="0" w:line="125"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displays share-based compensation expense recorded in the condensed consolidated statements of operations and comprehensive income (loss):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8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insurance expense</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unrecognized compensation cost and the remaining weighted-average period over which these costs are expected to be recognized for restricted stock units and unvested stock options as of June 30,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Service-based Restricted</w:t>
            </w:r>
          </w:p>
        </w:tc>
        <w:tc>
          <w:tcPr>
            <w:tcW w:w="240" w:type="dxa"/>
            <w:vAlign w:val="bottom"/>
          </w:tcPr>
          <w:p>
            <w:pPr>
              <w:spacing w:after="0"/>
              <w:rPr>
                <w:sz w:val="14"/>
                <w:szCs w:val="14"/>
                <w:color w:val="auto"/>
              </w:rPr>
            </w:pPr>
          </w:p>
        </w:tc>
        <w:tc>
          <w:tcPr>
            <w:tcW w:w="17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Market-based Restricted</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6"/>
        </w:trPr>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40" w:type="dxa"/>
            <w:vAlign w:val="bottom"/>
          </w:tcPr>
          <w:p>
            <w:pPr>
              <w:spacing w:after="0"/>
              <w:rPr>
                <w:sz w:val="16"/>
                <w:szCs w:val="16"/>
                <w:color w:val="auto"/>
              </w:rPr>
            </w:pPr>
          </w:p>
        </w:tc>
        <w:tc>
          <w:tcPr>
            <w:tcW w:w="17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460" w:type="dxa"/>
            <w:vAlign w:val="bottom"/>
          </w:tcPr>
          <w:p>
            <w:pPr>
              <w:spacing w:after="0"/>
              <w:rPr>
                <w:sz w:val="16"/>
                <w:szCs w:val="16"/>
                <w:color w:val="auto"/>
              </w:rPr>
            </w:pPr>
          </w:p>
        </w:tc>
        <w:tc>
          <w:tcPr>
            <w:tcW w:w="122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Unvested Stock Options</w:t>
            </w:r>
          </w:p>
        </w:tc>
      </w:tr>
      <w:tr>
        <w:trPr>
          <w:trHeight w:val="38"/>
        </w:trPr>
        <w:tc>
          <w:tcPr>
            <w:tcW w:w="4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4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2"/>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8"/>
        </w:trPr>
        <w:tc>
          <w:tcPr>
            <w:tcW w:w="4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33.1</w:t>
            </w:r>
          </w:p>
        </w:tc>
        <w:tc>
          <w:tcPr>
            <w:tcW w:w="4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0.6</w:t>
            </w:r>
          </w:p>
        </w:tc>
        <w:tc>
          <w:tcPr>
            <w:tcW w:w="76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2"/>
        </w:trPr>
        <w:tc>
          <w:tcPr>
            <w:tcW w:w="42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Remaining weighted-average period cost is expected to be</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(in years)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restricted stock units activity for the six months ended June 30, 2025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Service-based Restricted Stock Units</w:t>
            </w:r>
          </w:p>
        </w:tc>
        <w:tc>
          <w:tcPr>
            <w:tcW w:w="2640" w:type="dxa"/>
            <w:vAlign w:val="bottom"/>
            <w:gridSpan w:val="4"/>
          </w:tcPr>
          <w:p>
            <w:pPr>
              <w:jc w:val="center"/>
              <w:ind w:right="80"/>
              <w:spacing w:after="0" w:line="126" w:lineRule="exact"/>
              <w:rPr>
                <w:sz w:val="20"/>
                <w:szCs w:val="20"/>
                <w:color w:val="auto"/>
              </w:rPr>
            </w:pPr>
            <w:r>
              <w:rPr>
                <w:rFonts w:ascii="Times New Roman" w:cs="Times New Roman" w:eastAsia="Times New Roman" w:hAnsi="Times New Roman"/>
                <w:sz w:val="14"/>
                <w:szCs w:val="14"/>
                <w:b w:val="1"/>
                <w:bCs w:val="1"/>
                <w:color w:val="auto"/>
              </w:rPr>
              <w:t>Performance-based Restricted Stock</w:t>
            </w:r>
          </w:p>
        </w:tc>
        <w:tc>
          <w:tcPr>
            <w:tcW w:w="25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Market-based Restricted Stock Units</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1440" w:type="dxa"/>
            <w:vAlign w:val="bottom"/>
            <w:gridSpan w:val="2"/>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18"/>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18"/>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34"/>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1"/>
                <w:szCs w:val="11"/>
                <w:color w:val="auto"/>
              </w:rPr>
            </w:pPr>
          </w:p>
        </w:tc>
        <w:tc>
          <w:tcPr>
            <w:tcW w:w="12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1"/>
                <w:szCs w:val="11"/>
                <w:color w:val="auto"/>
              </w:rPr>
            </w:pPr>
          </w:p>
        </w:tc>
        <w:tc>
          <w:tcPr>
            <w:tcW w:w="11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6"/>
        </w:trPr>
        <w:tc>
          <w:tcPr>
            <w:tcW w:w="34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Value per Share</w:t>
            </w:r>
          </w:p>
        </w:tc>
        <w:tc>
          <w:tcPr>
            <w:tcW w:w="1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8"/>
              </w:rPr>
              <w:t>Value per Share</w:t>
            </w:r>
          </w:p>
        </w:tc>
        <w:tc>
          <w:tcPr>
            <w:tcW w:w="0" w:type="dxa"/>
            <w:vAlign w:val="bottom"/>
          </w:tcPr>
          <w:p>
            <w:pPr>
              <w:spacing w:after="0"/>
              <w:rPr>
                <w:sz w:val="1"/>
                <w:szCs w:val="1"/>
                <w:color w:val="auto"/>
              </w:rPr>
            </w:pPr>
          </w:p>
        </w:tc>
      </w:tr>
      <w:tr>
        <w:trPr>
          <w:trHeight w:val="24"/>
        </w:trPr>
        <w:tc>
          <w:tcPr>
            <w:tcW w:w="3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5"/>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information pertaining to restricted stock units for the six months ended June 30, 2025 and 2024 is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Service-based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34860"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grant date fair value of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860" cy="168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grant date fair value of awards vested</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intrinsic value of awards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168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grant date fair value of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134860"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Market-based restricted stock units:</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grant date fair value of awards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intrinsic value of awards vested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19773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31" w:lineRule="exact"/>
        <w:rPr>
          <w:sz w:val="20"/>
          <w:szCs w:val="20"/>
          <w:color w:val="auto"/>
        </w:rPr>
      </w:pPr>
    </w:p>
    <w:p>
      <w:pPr>
        <w:ind w:left="58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19773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7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5"/>
        </w:trPr>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5"/>
        </w:trPr>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7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782"/>
        </w:trPr>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7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82"/>
        </w:trPr>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5"/>
        </w:trPr>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ectPr>
          <w:pgSz w:w="11900" w:h="16838" w:orient="portrait"/>
          <w:cols w:equalWidth="0" w:num="2">
            <w:col w:w="7420" w:space="720"/>
            <w:col w:w="31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option activity for the six months ended June 30, 2025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2"/>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200" w:type="dxa"/>
            <w:vAlign w:val="bottom"/>
          </w:tcPr>
          <w:p>
            <w:pPr>
              <w:spacing w:after="0"/>
              <w:rPr>
                <w:sz w:val="11"/>
                <w:szCs w:val="11"/>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7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 (in Years)</w:t>
            </w:r>
          </w:p>
        </w:tc>
        <w:tc>
          <w:tcPr>
            <w:tcW w:w="20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4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 except exercise price and term amounts)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34.13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5"/>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13.09</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8"/>
                <w:szCs w:val="18"/>
                <w:color w:val="auto"/>
              </w:rPr>
              <w:t>45.53</w:t>
            </w: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34.80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40" w:hanging="634"/>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6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displays the computation of basic and diluted earnings (loss) per share, or EPS, for both Class A and Class B common stock for the three and six months ended June 30,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7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8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5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(both Class A and B)</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Service-based restricted stock units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Market-based restricted stock units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 (both Class A and B)</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58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5"/>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For the three and six months ended June 30, 2024, we operated at a loss and, therefore, the conversion of common stock equivalents would increase the denominator of the diluted EPS calculation and create a lower EPS. Therefore, these common stock equivalents are considered anti-dilutive and diluted EPS is equal to basic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3" w:lineRule="exact"/>
        <w:rPr>
          <w:sz w:val="20"/>
          <w:szCs w:val="20"/>
          <w:color w:val="auto"/>
        </w:rPr>
      </w:pPr>
    </w:p>
    <w:p>
      <w:pPr>
        <w:jc w:val="center"/>
        <w:ind w:right="400"/>
        <w:spacing w:after="0" w:line="304" w:lineRule="auto"/>
        <w:rPr>
          <w:sz w:val="20"/>
          <w:szCs w:val="20"/>
          <w:color w:val="auto"/>
        </w:rPr>
      </w:pPr>
      <w:r>
        <w:rPr>
          <w:rFonts w:ascii="Times New Roman" w:cs="Times New Roman" w:eastAsia="Times New Roman" w:hAnsi="Times New Roman"/>
          <w:sz w:val="17"/>
          <w:szCs w:val="17"/>
          <w:color w:val="auto"/>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gridSpan w:val="3"/>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80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4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1"/>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shares subject to repurchase</w:t>
            </w:r>
          </w:p>
        </w:tc>
        <w:tc>
          <w:tcPr>
            <w:tcW w:w="162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restricted stock units</w:t>
            </w:r>
          </w:p>
        </w:tc>
        <w:tc>
          <w:tcPr>
            <w:tcW w:w="162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Market-based restricted stock units</w:t>
            </w:r>
          </w:p>
        </w:tc>
        <w:tc>
          <w:tcPr>
            <w:tcW w:w="162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72"/>
        </w:trPr>
        <w:tc>
          <w:tcPr>
            <w:tcW w:w="58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Redeemable convertible preferred stock (as converted to common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238"/>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62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65"/>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4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hanging="614"/>
        <w:spacing w:after="0"/>
        <w:tabs>
          <w:tab w:leader="none" w:pos="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GEOGRAPHICAL BREAKDOWN OF GROSS PREMIUMS WRITTEN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premiums written by state is as follows for the three and six months ended June 30,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40" w:type="dxa"/>
            <w:vAlign w:val="bottom"/>
          </w:tcPr>
          <w:p>
            <w:pPr>
              <w:spacing w:after="0"/>
              <w:rPr>
                <w:sz w:val="16"/>
                <w:szCs w:val="16"/>
                <w:color w:val="auto"/>
              </w:rPr>
            </w:pPr>
          </w:p>
        </w:tc>
      </w:tr>
      <w:tr>
        <w:trPr>
          <w:trHeight w:val="24"/>
        </w:trPr>
        <w:tc>
          <w:tcPr>
            <w:tcW w:w="2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r>
      <w:tr>
        <w:trPr>
          <w:trHeight w:val="192"/>
        </w:trPr>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2"/>
        </w:trPr>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2"/>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2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Georgia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w:t>
            </w:r>
          </w:p>
        </w:tc>
      </w:tr>
      <w:tr>
        <w:trPr>
          <w:trHeight w:val="225"/>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Pennsylvania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Colorado</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Carolina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Nevada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Oklahoma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2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All others states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35.0</w:t>
            </w:r>
          </w:p>
        </w:tc>
      </w:tr>
      <w:tr>
        <w:trPr>
          <w:trHeight w:val="244"/>
        </w:trPr>
        <w:tc>
          <w:tcPr>
            <w:tcW w:w="2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2024 filed with the Securities and Exchange Commission on February 26, 2025, or the 2024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2024 10-K for a discussion of important factors that could cause our actual results to differ materially from those anticipated in these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Root is a technology insurance company founded on the idea that car insurance rates should be based primarily on driving behaviors, not demographics.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revolutionizing the archaic car insurance industry using mobile technology and data science to offer drivers fair, personalized rates.</w:t>
      </w:r>
    </w:p>
    <w:p>
      <w:pPr>
        <w:spacing w:after="0" w:line="145" w:lineRule="exact"/>
        <w:rPr>
          <w:sz w:val="20"/>
          <w:szCs w:val="20"/>
          <w:color w:val="auto"/>
        </w:rPr>
      </w:pPr>
    </w:p>
    <w:p>
      <w:pPr>
        <w:jc w:val="both"/>
        <w:ind w:right="260" w:firstLine="318"/>
        <w:spacing w:after="0" w:line="255" w:lineRule="auto"/>
        <w:rPr>
          <w:sz w:val="20"/>
          <w:szCs w:val="20"/>
          <w:color w:val="auto"/>
        </w:rPr>
      </w:pPr>
      <w:r>
        <w:rPr>
          <w:rFonts w:ascii="Times New Roman" w:cs="Times New Roman" w:eastAsia="Times New Roman" w:hAnsi="Times New Roman"/>
          <w:sz w:val="18"/>
          <w:szCs w:val="18"/>
          <w:color w:val="auto"/>
        </w:rPr>
        <w:t>We believe the Root advantage is derived from our unique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w:t>
      </w:r>
    </w:p>
    <w:p>
      <w:pPr>
        <w:spacing w:after="0" w:line="12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To scale the business, we aim to drive new customer growth and optimize unit economics by capitalizing on our two distribution channels: direct and partnership. The direct channel efficiently drives volume for high intent customers, meeting customers in platforms that they use extensively while actively shopping for insurance such as search engines or select marketplace platforms. The data science model seeks to optimize bidding strategies that fine tunes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spacing w:after="0" w:line="134"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We use technology to drive efficiency across all functions, including distribution, underwriting, policy administration and claims in particular. We believe our data- and technology-driven approach to pricing and underwriting allows for rapid response to macroeconomic trends and volatility through quick, appropriate rate actions aided by segmenting individual risk based on complex behavioral data and proprietary telematics models. Through continued development of machine-learning loss models, which allow us to respond more quickly to changes in the market, we expect improvement in pricing segmentation. We believe this allows us to operate with a cost-to-acquire and cost-to-serve advantage. We believe that through prudent investment in and diversification of our distribution channels, including leveraging proprietary data science and technology and a focus on partnerships with automotive, financial services, and independent agents, will position us for sustainable, long-term and profitable growth.</w:t>
      </w:r>
    </w:p>
    <w:p>
      <w:pPr>
        <w:spacing w:after="0" w:line="13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impact of large losses or tail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continuously evaluate our utilization of third-party reinsurance in order to operate a capital-efficient business model. As our gross loss ratio has stabilized,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strategically reduced the utilization of external quota share to balance the cost of reinsurance with capital efficiency. Over the long term, we expect to maintain the flexibility to modify our reinsurance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Comparability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Macroeconomic Factors</w:t>
      </w:r>
    </w:p>
    <w:p>
      <w:pPr>
        <w:spacing w:after="0" w:line="166" w:lineRule="exact"/>
        <w:rPr>
          <w:sz w:val="20"/>
          <w:szCs w:val="20"/>
          <w:color w:val="auto"/>
        </w:rPr>
      </w:pPr>
    </w:p>
    <w:p>
      <w:pPr>
        <w:ind w:right="60" w:firstLine="318"/>
        <w:spacing w:after="0" w:line="267" w:lineRule="auto"/>
        <w:rPr>
          <w:sz w:val="20"/>
          <w:szCs w:val="20"/>
          <w:color w:val="auto"/>
        </w:rPr>
      </w:pPr>
      <w:r>
        <w:rPr>
          <w:rFonts w:ascii="Times New Roman" w:cs="Times New Roman" w:eastAsia="Times New Roman" w:hAnsi="Times New Roman"/>
          <w:sz w:val="17"/>
          <w:szCs w:val="17"/>
          <w:color w:val="auto"/>
        </w:rPr>
        <w:t>Economic instability has led to acute inflationary pressures, supply chain disruptions, changes in interest rates and changes in equity markets. In addition, economic uncertainty has developed as a result of dialogue and imposition of substantial tariffs and potential retaliatory tariffs. There remains uncertainty around the future of inflation, including as a result of new or increased tariffs;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Additionally, we continue to file in multiple states to establish rates that more closely follow the evolving loss cost trends. Fluctuations in interest rates could impact our cost of capital and may limit our ability to raise additional capital.</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Reinsurance</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66"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accounting principles generally accepted in the U.S., or GAAP. See the section titled “—Non-GAAP Financial Measures” for additional information regarding our use of direct contribution and adjusted EBITDA and their reconciliations to the most directly comparable GAAP measures.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980" w:type="dxa"/>
            <w:vAlign w:val="bottom"/>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(dollars in millions, except premiums per policy)</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Policies in force</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455,493</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406,283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455,493</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406,283</w:t>
            </w:r>
          </w:p>
        </w:tc>
      </w:tr>
      <w:tr>
        <w:trPr>
          <w:trHeight w:val="24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per policy</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1,616</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1,522</w:t>
            </w:r>
          </w:p>
        </w:tc>
      </w:tr>
      <w:tr>
        <w:trPr>
          <w:trHeight w:val="25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in force</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1,472.2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1,236.7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1,472.2</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1,236.7</w:t>
            </w:r>
          </w:p>
        </w:tc>
      </w:tr>
      <w:tr>
        <w:trPr>
          <w:trHeight w:val="24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346.2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757.0</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638.9</w:t>
            </w:r>
          </w:p>
        </w:tc>
      </w:tr>
      <w:tr>
        <w:trPr>
          <w:trHeight w:val="27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371.3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715.7</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583.0</w:t>
            </w:r>
          </w:p>
        </w:tc>
      </w:tr>
      <w:tr>
        <w:trPr>
          <w:trHeight w:val="24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208.8</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134.7</w:t>
            </w:r>
          </w:p>
        </w:tc>
      </w:tr>
      <w:tr>
        <w:trPr>
          <w:trHeight w:val="25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w:t>
            </w:r>
          </w:p>
        </w:tc>
      </w:tr>
      <w:tr>
        <w:trPr>
          <w:trHeight w:val="25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contribution</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2"/>
                <w:szCs w:val="22"/>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252.9</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167.7</w:t>
            </w:r>
          </w:p>
        </w:tc>
      </w:tr>
      <w:tr>
        <w:trPr>
          <w:trHeight w:val="25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69.5</w:t>
            </w:r>
          </w:p>
        </w:tc>
        <w:tc>
          <w:tcPr>
            <w:tcW w:w="4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27.2</w:t>
            </w:r>
          </w:p>
        </w:tc>
      </w:tr>
      <w:tr>
        <w:trPr>
          <w:trHeight w:val="25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ratio</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5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expense ratio</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5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combined ratio</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102.4 %</w:t>
            </w:r>
          </w:p>
        </w:tc>
      </w:tr>
      <w:tr>
        <w:trPr>
          <w:trHeight w:val="25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ratio</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4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LAE ratio</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5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expense ratio</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4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combined ratio</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99.8 %</w:t>
            </w:r>
          </w:p>
        </w:tc>
      </w:tr>
      <w:tr>
        <w:trPr>
          <w:trHeight w:val="25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accident period loss ratio</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Policies in Force</w:t>
      </w:r>
    </w:p>
    <w:p>
      <w:pPr>
        <w:spacing w:after="0" w:line="166"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Premiums per Policy</w:t>
      </w:r>
    </w:p>
    <w:p>
      <w:pPr>
        <w:spacing w:after="0" w:line="166" w:lineRule="exact"/>
        <w:rPr>
          <w:sz w:val="20"/>
          <w:szCs w:val="20"/>
          <w:color w:val="auto"/>
        </w:rPr>
      </w:pPr>
    </w:p>
    <w:p>
      <w:pPr>
        <w:jc w:val="both"/>
        <w:ind w:right="260" w:firstLine="318"/>
        <w:spacing w:after="0" w:line="259" w:lineRule="auto"/>
        <w:rPr>
          <w:sz w:val="20"/>
          <w:szCs w:val="20"/>
          <w:color w:val="auto"/>
        </w:rPr>
      </w:pPr>
      <w:r>
        <w:rPr>
          <w:rFonts w:ascii="Times New Roman" w:cs="Times New Roman" w:eastAsia="Times New Roman" w:hAnsi="Times New Roman"/>
          <w:sz w:val="18"/>
          <w:szCs w:val="18"/>
          <w:color w:val="auto"/>
        </w:rPr>
        <w:t>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Premiums in Force</w:t>
      </w:r>
    </w:p>
    <w:p>
      <w:pPr>
        <w:spacing w:after="0" w:line="16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Premiums Written</w:t>
      </w:r>
    </w:p>
    <w:p>
      <w:pPr>
        <w:spacing w:after="0" w:line="16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Premiums Earned</w:t>
      </w:r>
    </w:p>
    <w:p>
      <w:pPr>
        <w:spacing w:after="0" w:line="166"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66"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We define gross profit as total revenue minus net loss and LAE and other insurance expense. We view gross profit as an important metric because we believe it is informative of the financial performance of our core insurance business.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66"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We define direct contribution, a non-GAAP financial measure, as gross profit excluding net investment income, acquisition costs, which include report costs and refunds related to these expenses and commission expenses related to our partnership channel, and fixed expenses, which include certain warrant compensation expense related to policies originating through the integrated automobile insurance solution for Carvana’s online buying platform, or Integrated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1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revenue incurred on the successful acquisition of business. We view direct contribution as an important metric because we believe it measures profitability of our total policy portfolio prior to the impact of reinsurance.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total revenue to direct contribution.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define adjusted EBITDA, a non-GAAP financial measure, as net income (loss) excluding interest expense, income tax expense, depreciation and amortization, share-based compensation,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in accordance with GAAP, and other companies may define adjusted EBITDA differently.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net income (loss) to adjusted EBITDA.</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Loss and LAE Ratio</w:t>
      </w:r>
    </w:p>
    <w:p>
      <w:pPr>
        <w:spacing w:after="0" w:line="166"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Expense Ratio</w:t>
      </w:r>
    </w:p>
    <w:p>
      <w:pPr>
        <w:spacing w:after="0" w:line="16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Combined Ratio</w:t>
      </w:r>
    </w:p>
    <w:p>
      <w:pPr>
        <w:spacing w:after="0" w:line="166"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Loss Ratio</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LAE Ratio</w:t>
      </w:r>
    </w:p>
    <w:p>
      <w:pPr>
        <w:spacing w:after="0" w:line="166"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We define gross LAE ratio, expressed as a percentage, as the ratio of gross LAE to gross premiums earned. We view gross LAE ratio as an important metric because it allows us to evaluate incurred losses and LAE separately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Expense Ratio</w:t>
      </w:r>
    </w:p>
    <w:p>
      <w:pPr>
        <w:spacing w:after="0" w:line="16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Combined Ratio</w:t>
      </w:r>
    </w:p>
    <w:p>
      <w:pPr>
        <w:spacing w:after="0" w:line="166"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Gross Accident Period Loss Ratio</w:t>
      </w:r>
    </w:p>
    <w:p>
      <w:pPr>
        <w:spacing w:after="0" w:line="166"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generate revenue from net premiums earned, net investment income, fee income and other income.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66"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Premiums written are deferred and earned pro rata over the policy period. Net premiums earned represents the earned portion of our gross premiums written, less the earned portion that is ceded to third-party reinsurers under our reinsurance agreements.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66"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Net investment income represents interest earned from our cash and cash equivalents, fixed maturities, and short-term investments less investment expenses. Net investment income also includes impairments related to low-income housing tax credits investments in limited liability entities to offset certain state premium taxes. These tax credits are recognized when utilized.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6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Other income is primarily comprised of revenue earned from distributing website and mobile application policy inquiry leads in geographies where we do not have a presence, recognized when we generate the lead.</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ind w:right="900" w:firstLine="318"/>
        <w:spacing w:after="0" w:line="274" w:lineRule="auto"/>
        <w:rPr>
          <w:sz w:val="20"/>
          <w:szCs w:val="20"/>
          <w:color w:val="auto"/>
        </w:rPr>
      </w:pPr>
      <w:r>
        <w:rPr>
          <w:rFonts w:ascii="Times New Roman" w:cs="Times New Roman" w:eastAsia="Times New Roman" w:hAnsi="Times New Roman"/>
          <w:sz w:val="18"/>
          <w:szCs w:val="18"/>
          <w:color w:val="auto"/>
        </w:rPr>
        <w:t>Our operating expenses consist of loss and LAE, sales and marketing, other insurance expense, technology and development, and general and administrative expenses.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66"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16"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spacing w:after="0" w:line="127"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Various other expenses incurred during claims processing are considered LAE. These amounts include Personnel Costs for claims-related employees; vendor expenses; software expense; internally developed software amortization; and Overhead.</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6"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costs. We incur sales and marketing expenses for all product offerings. Sales and marketing are expensed as incurred.</w:t>
      </w:r>
    </w:p>
    <w:p>
      <w:pPr>
        <w:spacing w:after="0" w:line="127" w:lineRule="exact"/>
        <w:rPr>
          <w:sz w:val="20"/>
          <w:szCs w:val="20"/>
          <w:color w:val="auto"/>
        </w:rPr>
      </w:pPr>
    </w:p>
    <w:p>
      <w:pPr>
        <w:jc w:val="both"/>
        <w:ind w:right="40" w:firstLine="318"/>
        <w:spacing w:after="0" w:line="282" w:lineRule="auto"/>
        <w:rPr>
          <w:sz w:val="20"/>
          <w:szCs w:val="20"/>
          <w:color w:val="auto"/>
        </w:rPr>
      </w:pPr>
      <w:r>
        <w:rPr>
          <w:rFonts w:ascii="Times New Roman" w:cs="Times New Roman" w:eastAsia="Times New Roman" w:hAnsi="Times New Roman"/>
          <w:sz w:val="17"/>
          <w:szCs w:val="17"/>
          <w:color w:val="auto"/>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 term we expect it will decrease as a percentage of revenue as the proportion of renewals to our total business increases.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66"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Other insurance expense includes expenses primarily related to insurance and underwriting operations of the business, and is comprised of acquisition, variable and fixed expenses. We view report costs and refunds related to these expenses and commission expenses related to our partnership channel as acquisition costs. We view premium taxes, credit card and policy processing expenses and premium write-offs as variable costs. We view insurance license expenses, certain warrant compensation expense related to policies originating through the Integrated Platform, low-income housing tax credits which offset certain state premium taxes, Personnel Costs and Overhead related to actuarial and certain data science activities as fixed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3"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spacing w:after="0" w:line="132"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Other insurance expense may increase in the near term due to higher warrant compensation expense. This could occur if the short-term warrants expire unexercised and, at that time, certain long-term warrants become probable of vesting. As a result, we would recognize a cumulative warrant expense catch-up, the magnitude of which would vary considering probability of and progress towards achieving the long-term warrant policy origination milestones.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6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General and administrative are fixed expenses that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discount and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40" w:type="dxa"/>
            <w:vAlign w:val="bottom"/>
          </w:tcPr>
          <w:p>
            <w:pPr>
              <w:spacing w:after="0"/>
              <w:rPr>
                <w:sz w:val="16"/>
                <w:szCs w:val="16"/>
                <w:color w:val="auto"/>
              </w:rPr>
            </w:pPr>
          </w:p>
        </w:tc>
      </w:tr>
      <w:tr>
        <w:trPr>
          <w:trHeight w:val="38"/>
        </w:trPr>
        <w:tc>
          <w:tcPr>
            <w:tcW w:w="6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8"/>
        </w:trPr>
        <w:tc>
          <w:tcPr>
            <w:tcW w:w="6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5"/>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tcPr>
          <w:p>
            <w:pPr>
              <w:spacing w:after="0"/>
              <w:rPr>
                <w:sz w:val="15"/>
                <w:szCs w:val="15"/>
                <w:color w:val="auto"/>
              </w:rPr>
            </w:pPr>
          </w:p>
        </w:tc>
      </w:tr>
      <w:tr>
        <w:trPr>
          <w:trHeight w:val="38"/>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 income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3"/>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insurance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25"/>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382.1 %</w:t>
            </w:r>
          </w:p>
        </w:tc>
      </w:tr>
      <w:tr>
        <w:trPr>
          <w:trHeight w:val="25"/>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0"/>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1700.0 %</w:t>
            </w:r>
          </w:p>
        </w:tc>
      </w:tr>
      <w:tr>
        <w:trPr>
          <w:trHeight w:val="25"/>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398.7 %</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66"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Net premiums earned increased primarily due to an increase in policies in force as a result of continued growth in our partnership channel, reduced cessions of gross premiums earned to reinsurers between periods and greater premiums per policy resulting from a shift in customer mix and rate actions in 2024.</w:t>
      </w:r>
    </w:p>
    <w:p>
      <w:pPr>
        <w:spacing w:after="0" w:line="125"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2025 and 2024, we ceded approximately 4.9% and 15.1% of our gross premiums earned, respectively. The change in cessions between periods was primarily driven by a strategic reduction of quota share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three months ended June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60" w:type="dxa"/>
            <w:vAlign w:val="bottom"/>
          </w:tcPr>
          <w:p>
            <w:pPr>
              <w:spacing w:after="0"/>
              <w:rPr>
                <w:sz w:val="16"/>
                <w:szCs w:val="16"/>
                <w:color w:val="auto"/>
              </w:rPr>
            </w:pPr>
          </w:p>
        </w:tc>
      </w:tr>
      <w:tr>
        <w:trPr>
          <w:trHeight w:val="38"/>
        </w:trPr>
        <w:tc>
          <w:tcPr>
            <w:tcW w:w="6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1"/>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8"/>
        </w:trPr>
        <w:tc>
          <w:tcPr>
            <w:tcW w:w="6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1"/>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5"/>
                <w:szCs w:val="15"/>
                <w:color w:val="auto"/>
              </w:rPr>
            </w:pPr>
          </w:p>
        </w:tc>
      </w:tr>
      <w:tr>
        <w:trPr>
          <w:trHeight w:val="38"/>
        </w:trPr>
        <w:tc>
          <w:tcPr>
            <w:tcW w:w="6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6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6"/>
              </w:rPr>
              <w:t>(44.6)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5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12"/>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4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(46.4)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5"/>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5"/>
        </w:trPr>
        <w:tc>
          <w:tcPr>
            <w:tcW w:w="6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Gross premiums written increased for the three months ended June 30, 2025 primarily due to growth in new writings as a result of continued growth in our partnership channel compared to the same period in 2024. The increase in gross premiums earned was primarily due to greater policies in force and a 6.2% increase in premiums per policy primarily attributable to a shift in customer mix and rate actions in 2024.</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6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Loss and LAE increased due to additional losses incurred on increased gross premiums earned volume and reduced cessions of losses to reinsurers driven by a strategic reduction of quota share reinsurance for the three months ended June 30, 2025 compared to the same period in 2024. This volume-driven increase was partially offset by a reduction of loss and LAE reserves on prior periods due to lower than expected reported activity.</w:t>
      </w:r>
    </w:p>
    <w:p>
      <w:pPr>
        <w:spacing w:after="0" w:line="12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Gross accident period loss ratio decreased to 59.6% for the three months ended June 30, 2025, from 61.0% for the same period in 2024. The change in the ratio was driven by growth in average premium per policy primarily attributable to rate actions and favorable weather-related losses. This was partially offset by higher loss costs as a result of increased severity per claim due to higher vehicle repair and medical costs and a geographic mix shift. We observed a 6% increase in accident period severity per claim and a 2% decrease in claim frequency for the three months ended June 30, 2025 compared to the same period in 2024 across our bodily injury, collision, and property damage coverages. The claim frequency estimates are tenure mix adjusted.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6" w:lineRule="exact"/>
        <w:rPr>
          <w:sz w:val="20"/>
          <w:szCs w:val="20"/>
          <w:color w:val="auto"/>
        </w:rPr>
      </w:pPr>
    </w:p>
    <w:p>
      <w:pPr>
        <w:ind w:firstLine="318"/>
        <w:spacing w:after="0" w:line="282" w:lineRule="auto"/>
        <w:rPr>
          <w:sz w:val="20"/>
          <w:szCs w:val="20"/>
          <w:color w:val="auto"/>
        </w:rPr>
      </w:pPr>
      <w:r>
        <w:rPr>
          <w:rFonts w:ascii="Times New Roman" w:cs="Times New Roman" w:eastAsia="Times New Roman" w:hAnsi="Times New Roman"/>
          <w:sz w:val="17"/>
          <w:szCs w:val="17"/>
          <w:color w:val="auto"/>
        </w:rPr>
        <w:t>Sales and marketing expense increased primarily due to a $2.8 million increase in direct performance marketing spend, reflective of our investments to drive accretive growth and deeper market penetration in the states in which we operate. While acquisition expenses increased due to heightened competition in the marketing environment, we remained disciplined in our deployment of direct marketing spend, operating within our estimated return targets.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7"/>
          <w:szCs w:val="17"/>
          <w:color w:val="auto"/>
        </w:rPr>
        <w:t>Other insurance expense increased primarily due to a $10.0 million increase in our acquisition expenses driven by greater commissions paid related to the continued growth in our partnership channel, including amortization of deferred policy acquisition costs. We also saw a $6.0 million decrease in net ceding commission contra-expense as a result of a decline in ceded premiums written, largely attributable to a strategic reduction of quota share reinsurance. We also saw an increase in variable expenses, including a $2.3 million increase in premium taxes, as a result of growth of our earned premium and policies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66" w:lineRule="exact"/>
        <w:rPr>
          <w:sz w:val="20"/>
          <w:szCs w:val="20"/>
          <w:color w:val="auto"/>
        </w:rPr>
      </w:pPr>
    </w:p>
    <w:p>
      <w:pPr>
        <w:ind w:right="380"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 increased primarily due to a $4.0 million increase in personnel costs mainly driven by share-based compensation expenses relating to our equity incentive plan.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6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primarily due to a $5.8 million decrease in debt interest expense as a result of reduced principal and a more favorable interest rate in connection with the $200.0 million five-year term loan, or Amended Term Loan.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Pr>
          <w:p>
            <w:pPr>
              <w:spacing w:after="0"/>
              <w:rPr>
                <w:sz w:val="16"/>
                <w:szCs w:val="16"/>
                <w:color w:val="auto"/>
              </w:rPr>
            </w:pPr>
          </w:p>
        </w:tc>
      </w:tr>
      <w:tr>
        <w:trPr>
          <w:trHeight w:val="38"/>
        </w:trPr>
        <w:tc>
          <w:tcPr>
            <w:tcW w:w="6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8"/>
        </w:trPr>
        <w:tc>
          <w:tcPr>
            <w:tcW w:w="6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5"/>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tcPr>
          <w:p>
            <w:pPr>
              <w:spacing w:after="0"/>
              <w:rPr>
                <w:sz w:val="15"/>
                <w:szCs w:val="15"/>
                <w:color w:val="auto"/>
              </w:rPr>
            </w:pPr>
          </w:p>
        </w:tc>
      </w:tr>
      <w:tr>
        <w:trPr>
          <w:trHeight w:val="38"/>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5"/>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23"/>
                <w:szCs w:val="23"/>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65"/>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65"/>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 income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65"/>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3"/>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5"/>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65"/>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65"/>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insurance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60.5 %</w:t>
            </w:r>
          </w:p>
        </w:tc>
      </w:tr>
      <w:tr>
        <w:trPr>
          <w:trHeight w:val="265"/>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5"/>
        </w:trPr>
        <w:tc>
          <w:tcPr>
            <w:tcW w:w="6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58"/>
        </w:trPr>
        <w:tc>
          <w:tcPr>
            <w:tcW w:w="6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5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454.3 %</w:t>
            </w:r>
          </w:p>
        </w:tc>
      </w:tr>
      <w:tr>
        <w:trPr>
          <w:trHeight w:val="26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388.6 %</w:t>
            </w:r>
          </w:p>
        </w:tc>
      </w:tr>
      <w:tr>
        <w:trPr>
          <w:trHeight w:val="25"/>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388.6 %</w:t>
            </w:r>
          </w:p>
        </w:tc>
      </w:tr>
      <w:tr>
        <w:trPr>
          <w:trHeight w:val="25"/>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65"/>
        </w:trPr>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611.1 %</w:t>
            </w: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402.0 %</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66"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Net premiums earned increased primarily due to an increase in policies in force as a result of continued growth in our partnership channel, reduced cessions of gross premiums earned to reinsurers between periods and greater premiums per policy resulting from a shift in customer mix and rate actions in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13"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and 2024, we ceded approximately 5.8% and 15.6% of our gross premiums earned, respectively. The change in cessions between periods was primarily driven by a strategic reduction of quota share reinsurance.</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six months ended June 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Pr>
          <w:p>
            <w:pPr>
              <w:spacing w:after="0"/>
              <w:rPr>
                <w:sz w:val="16"/>
                <w:szCs w:val="16"/>
                <w:color w:val="auto"/>
              </w:rPr>
            </w:pPr>
          </w:p>
        </w:tc>
      </w:tr>
      <w:tr>
        <w:trPr>
          <w:trHeight w:val="38"/>
        </w:trPr>
        <w:tc>
          <w:tcPr>
            <w:tcW w:w="6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8"/>
        </w:trPr>
        <w:tc>
          <w:tcPr>
            <w:tcW w:w="6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5"/>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tcPr>
          <w:p>
            <w:pPr>
              <w:spacing w:after="0"/>
              <w:rPr>
                <w:sz w:val="15"/>
                <w:szCs w:val="15"/>
                <w:color w:val="auto"/>
              </w:rPr>
            </w:pPr>
          </w:p>
        </w:tc>
      </w:tr>
      <w:tr>
        <w:trPr>
          <w:trHeight w:val="38"/>
        </w:trPr>
        <w:tc>
          <w:tcPr>
            <w:tcW w:w="6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65"/>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(91.3)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5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12"/>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4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(91.1)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5"/>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5"/>
        </w:trPr>
        <w:tc>
          <w:tcPr>
            <w:tcW w:w="6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Gross premiums written increased for the six months ended June 30, 2025 primarily due to continued growth in our partnership channel compared to the same period in 2024. The increase in gross premiums earned was primarily due to greater policies in force and a 6.2% increase in premiums per policy primarily attributable to a shift in customer mix and rate actions in 2024.</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Fee income increased due to $4.1 million in policy fees and $1.7 million in installment fees due to greater policies in force.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66"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Loss and LAE increased due to additional losses incurred on increased gross premiums earned volume and reduced cessions of losses to reinsurers driven by a strategic reduction of quota share reinsurance for the six months ended June 30, 2025 compared to the same period in 2024. This volume-driven increase was partially offset by a reduction of loss and LAE reserves on prior periods due to lower than expected reported activity.</w:t>
      </w:r>
    </w:p>
    <w:p>
      <w:pPr>
        <w:spacing w:after="0" w:line="125"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Gross accident period loss ratio decreased to 57.7% for the six months ended June 30, 2025, from 59.6% for the same period in 2024. The change in the ratio was driven by growth in average premium per policy primarily attributable to rate actions. This was partially offset by geographic mix shift and higher loss costs as a result of increased severity per claim due to higher vehicle repair and medical costs. We observed a 5% increase in accident period severity per claim and a 4% decrease in claim frequency for the six months ended June 30, 2025, compared to the same period in 2024 across our bodily injury, collision, and property damage coverages. The claim frequency estimates are tenure mix adjusted.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6" w:lineRule="exact"/>
        <w:rPr>
          <w:sz w:val="20"/>
          <w:szCs w:val="20"/>
          <w:color w:val="auto"/>
        </w:rPr>
      </w:pPr>
    </w:p>
    <w:p>
      <w:pPr>
        <w:ind w:firstLine="318"/>
        <w:spacing w:after="0" w:line="282" w:lineRule="auto"/>
        <w:rPr>
          <w:sz w:val="20"/>
          <w:szCs w:val="20"/>
          <w:color w:val="auto"/>
        </w:rPr>
      </w:pPr>
      <w:r>
        <w:rPr>
          <w:rFonts w:ascii="Times New Roman" w:cs="Times New Roman" w:eastAsia="Times New Roman" w:hAnsi="Times New Roman"/>
          <w:sz w:val="17"/>
          <w:szCs w:val="17"/>
          <w:color w:val="auto"/>
        </w:rPr>
        <w:t>Sales and marketing expense increased primarily due to a $22.3 million increase in direct performance marketing spend, reflective of our investments to drive accretive growth and deeper market penetration in the states in which we operate. While acquisition expenses increased due to heightened competition in the marketing environment, we remained disciplined in our deployment of direct marketing spend, operating within our estimated return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6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Other insurance expense increased primarily due to a $14.7 million increase in our acquisition expenses driven by greater commissions paid related to the continued growth in our partnership channel, including amortization of deferred policy acquisition costs. We also saw an $11.7 million decrease in net ceding commission contra-expense as a result of a decline in ceded premiums written, largely attributable to a strategic reduction of quota share reinsurance. Variable expenses increased primarily due to a $4.0 million increase in premium write-offs and a $3.8 million increase in premium taxes, as a result of growth of our earned premium and policies in force. Fixed expenses decreased primarily due to $3.8 million of Carvana warrant expense recognized in the first half of 2024, as all short-term warrant expense has been recognized upon vesting.</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66"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 increased primarily due to a $6.0 million increase in personnel costs mainly driven by share-based compensation expenses relating to our equity incentive plan.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primarily due to a $11.5 million decrease in debt interest expense as a result of reduced principal and a more favorable interest rate in connection with the Amended Term Loan.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Changes in Net Unrealized Gains (Losses) on Investments</w:t>
      </w:r>
    </w:p>
    <w:p>
      <w:pPr>
        <w:spacing w:after="0" w:line="166" w:lineRule="exact"/>
        <w:rPr>
          <w:sz w:val="20"/>
          <w:szCs w:val="20"/>
          <w:color w:val="auto"/>
        </w:rPr>
      </w:pPr>
    </w:p>
    <w:p>
      <w:pPr>
        <w:ind w:right="940" w:firstLine="318"/>
        <w:spacing w:after="0" w:line="274" w:lineRule="auto"/>
        <w:rPr>
          <w:sz w:val="20"/>
          <w:szCs w:val="20"/>
          <w:color w:val="auto"/>
        </w:rPr>
      </w:pPr>
      <w:r>
        <w:rPr>
          <w:rFonts w:ascii="Times New Roman" w:cs="Times New Roman" w:eastAsia="Times New Roman" w:hAnsi="Times New Roman"/>
          <w:sz w:val="18"/>
          <w:szCs w:val="18"/>
          <w:color w:val="auto"/>
        </w:rPr>
        <w:t>Changes in net unrealized gains (losses) on investments increased to net unrealized gains primarily attributable to changes in the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3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66"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For the definition of direct contribution and why management believes this measure provides useful information to investors, see “—Key Performance Indicators.”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total revenue to direct contribution for the three and six months ended June 30,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00" w:type="dxa"/>
            <w:vAlign w:val="bottom"/>
          </w:tcPr>
          <w:p>
            <w:pPr>
              <w:spacing w:after="0"/>
              <w:rPr>
                <w:sz w:val="17"/>
                <w:szCs w:val="17"/>
                <w:color w:val="auto"/>
              </w:rPr>
            </w:pPr>
          </w:p>
        </w:tc>
        <w:tc>
          <w:tcPr>
            <w:tcW w:w="264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0" w:type="dxa"/>
            <w:vAlign w:val="bottom"/>
          </w:tcPr>
          <w:p>
            <w:pPr>
              <w:spacing w:after="0"/>
              <w:rPr>
                <w:sz w:val="1"/>
                <w:szCs w:val="1"/>
                <w:color w:val="auto"/>
              </w:rPr>
            </w:pPr>
          </w:p>
        </w:tc>
      </w:tr>
      <w:tr>
        <w:trPr>
          <w:trHeight w:val="265"/>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insurance expense</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investment income</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65"/>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from other insurance expense</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Ceded premiums earned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0"/>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ceding commission and other</w:t>
            </w:r>
            <w:r>
              <w:rPr>
                <w:rFonts w:ascii="Times New Roman" w:cs="Times New Roman" w:eastAsia="Times New Roman" w:hAnsi="Times New Roman"/>
                <w:sz w:val="22"/>
                <w:szCs w:val="22"/>
                <w:color w:val="auto"/>
                <w:vertAlign w:val="superscript"/>
              </w:rPr>
              <w:t>(2)</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5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contribution</w:t>
            </w:r>
          </w:p>
        </w:tc>
        <w:tc>
          <w:tcPr>
            <w:tcW w:w="98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7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right="80" w:hanging="314"/>
        <w:spacing w:after="0" w:line="256" w:lineRule="auto"/>
        <w:tabs>
          <w:tab w:leader="none" w:pos="20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other insurance expense consists of acquisition costs, including report costs and refunds related to these expenses and commission expenses related to our partnership channel of $25.0 million and $44.7 million for the three and six months ended June 30, 2025, respectively, and $14.1 million and $29.7 million for the three and six months ended June 30, 2024, respectively. Adjustments from other insurance expense also consists of fixed expenses, including certain warrant compensation expense related to policies originating through the Integrated Platform, Personnel Costs, Overhead, licenses, professional fees and other of $4.6 million and $7.1 million for the three and six months ended June 30, 2025, respectively, and $4.5 million and</w:t>
      </w:r>
    </w:p>
    <w:p>
      <w:pPr>
        <w:ind w:left="320"/>
        <w:spacing w:after="0"/>
        <w:rPr>
          <w:sz w:val="20"/>
          <w:szCs w:val="20"/>
          <w:color w:val="auto"/>
        </w:rPr>
      </w:pPr>
      <w:r>
        <w:rPr>
          <w:rFonts w:ascii="Times New Roman" w:cs="Times New Roman" w:eastAsia="Times New Roman" w:hAnsi="Times New Roman"/>
          <w:sz w:val="14"/>
          <w:szCs w:val="14"/>
          <w:color w:val="auto"/>
        </w:rPr>
        <w:t>$9.7 million for the three and six months ended June 30, 2024, respectively</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320" w:right="320" w:hanging="314"/>
        <w:spacing w:after="0" w:line="303" w:lineRule="auto"/>
        <w:tabs>
          <w:tab w:leader="none" w:pos="20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ceding commission and other is comprised of ceding commissions received in connection with reinsurance ceded, partially offset by amortization of excess ceding commission and other impacts of reinsurance ceded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6"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For the definition of adjusted EBITDA and why management believes this measure provides useful information to investors, see “—Key Performance Indicators.”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for the three and six months ended June 30,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00" w:type="dxa"/>
            <w:vAlign w:val="bottom"/>
          </w:tcPr>
          <w:p>
            <w:pPr>
              <w:spacing w:after="0"/>
              <w:rPr>
                <w:sz w:val="17"/>
                <w:szCs w:val="17"/>
                <w:color w:val="auto"/>
              </w:rPr>
            </w:pPr>
          </w:p>
        </w:tc>
        <w:tc>
          <w:tcPr>
            <w:tcW w:w="264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8"/>
        </w:trPr>
        <w:tc>
          <w:tcPr>
            <w:tcW w:w="4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65"/>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65"/>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6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10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5"/>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2"/>
                <w:szCs w:val="22"/>
                <w:color w:val="auto"/>
                <w:vertAlign w:val="superscript"/>
              </w:rPr>
              <w:t>(1)</w:t>
            </w:r>
          </w:p>
        </w:tc>
        <w:tc>
          <w:tcPr>
            <w:tcW w:w="10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8"/>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60" w:lineRule="exact"/>
        <w:rPr>
          <w:sz w:val="20"/>
          <w:szCs w:val="20"/>
          <w:color w:val="auto"/>
        </w:rPr>
      </w:pPr>
    </w:p>
    <w:p>
      <w:pPr>
        <w:ind w:left="320" w:right="580" w:hanging="314"/>
        <w:spacing w:after="0" w:line="271" w:lineRule="auto"/>
        <w:tabs>
          <w:tab w:leader="none" w:pos="20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consist of employee costs and real estate exit costs. This includes depreciation and amortization of $0.1 million for the three and six months ended June 30, 2025 and $0.1 million and $0.2 million for the three and six months ended June 30, 2024, respectively.</w:t>
      </w:r>
    </w:p>
    <w:p>
      <w:pPr>
        <w:spacing w:after="0" w:line="126" w:lineRule="exact"/>
        <w:rPr>
          <w:rFonts w:ascii="Times New Roman" w:cs="Times New Roman" w:eastAsia="Times New Roman" w:hAnsi="Times New Roman"/>
          <w:sz w:val="14"/>
          <w:szCs w:val="14"/>
          <w:color w:val="auto"/>
        </w:rPr>
      </w:pPr>
    </w:p>
    <w:p>
      <w:pPr>
        <w:ind w:left="320" w:right="200" w:hanging="314"/>
        <w:spacing w:after="0" w:line="290" w:lineRule="auto"/>
        <w:tabs>
          <w:tab w:leader="none" w:pos="20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reflects legal costs and other items that do not reflect our ongoing operating performance. Legal and other fees related to the 2022 misappropriation of funds by a former senior marketing employee of zero for the three and six months ended June 30, 2025 and $0.4 million and $0.5 million for the three and six months ended June 30, 2024,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of insurance policies and the net proceeds we have received from our issuance of stock and debt. Cash generated from operations is highly dependent on being able to efficiently acquire and maintain customers while pricing our insurance products appropriately. We are continuously evaluating alternatives for efficiently funding our ongoing operations and reducing our cost of capital. We expect, from time to time, to engage in a variety of financing transactions for such purposes, including the issuance of stock and debt.</w:t>
      </w:r>
    </w:p>
    <w:p>
      <w:pPr>
        <w:spacing w:after="0" w:line="127"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Certain events may impact our liquidity such as the economic instability resulting in acute inflationary pressures, supply chain disruptions, changes in interest rates, new or increased tariffs,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such as the imposition of substantial tariffs and potential retaliatory tariffs, can also influence the returns, liquidity, valuation, and types of our investments. Additionally,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6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are organized as a holding company, but our primary operations are conducted by three of our wholly-owned insurance subsidiaries, Root Insurance Company and Root Property &amp; Casualty Insurance Company, both Ohio-domiciled insurance companies, and Root Florida Insurance Company, a Florida-domiciled insurance company. 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During the six months ended June 30, 2025, the Ohio Department of Insurance approved Root Insurance Company to distribute two extraordinary dividends. As a result, $10.0 million has been distributed to Caret Holdings, Inc., its parent company, net of capital contributed to our regulated insurance entities.</w:t>
      </w:r>
    </w:p>
    <w:p>
      <w:pPr>
        <w:spacing w:after="0" w:line="134"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June 30, 2025, our insurance subsidiaries maintained a risk-based capital level that is in excess of an amount that would require any corrective actions on our part.</w:t>
      </w:r>
    </w:p>
    <w:p>
      <w:pPr>
        <w:spacing w:after="0" w:line="12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Our wholly-owned, Cayman Islands-based reinsurance subsidiary, Root Reinsurance Company, Ltd., or Root Re, maintains a Class B(iii) insurer license under Cayman Islands Monetary Authority, or CIMA. At June 30, 2025, Root Re was subject to compliance with certain capital levels and a net premiums earned to capital ratio up to 15:1, which we maintained as of June 30, 2025. The capital ratio can fluctuate at Root Re’s election, subject to regulatory approval. Root Re’s primary sources of funds are assumed insurance premiums, net investment income and capital contributions from the holding company. These funds are primarily used to pay claims and operating expenses and to purchase investments. Root Re must notify CIMA before it can pay any dividend to the holding company. During the six months ended June 30, 2025, Root Re distributed a dividend of $25.0 million to Caret Holdings, Inc., its parent company.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6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In October 2024, we entered into the Amended Term Loan with the principal amount due and payable upon maturity on October 29, 2030. Interest is payable quarterly and determined on a floating interest rate calculated on the Secured Overnight Financing Rate with a 1.0% floor, plus an applicable margin ranging from 5.25% to 6.00% based upon the debt-to-capital ratio payable quarterly.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As of June 30, 2025, we had $641.4 million in cash and cash equivalents, of which $314.2 million was held outside of regulated insurance entities. We also had $322.7 million in marketable securities.</w:t>
      </w:r>
    </w:p>
    <w:p>
      <w:pPr>
        <w:spacing w:after="0" w:line="110"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Our marketable securities primarily consist of U.S. Treasury securities and agencies, municipal securities, corporate debt securities, and asset-backed securities.</w:t>
      </w:r>
    </w:p>
    <w:p>
      <w:pPr>
        <w:spacing w:after="0" w:line="110"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10"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9" w:name="page40"/>
    <w:bookmarkEnd w:id="39"/>
    <w:p>
      <w:pPr>
        <w:spacing w:after="0" w:line="11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Tax withholding obligations arise upon vesting of shares of service-based restricted stock units, or RSUs, performance-based restricted stock units, and market-based restricted stock units,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cash payments due for taxes upon the vesting of such equity compensation awards is dependent on the price of our Class A common stock on the applicable vesting dates and could be substantial. Future obligations could have a negative impact on our liquidity and ability to use funds for operational purposes. During the second quarter of 2025, we paid $16.3 million in tax withholding obligations arising from the vesting of shares of RSUs and market-based restricted stock units.</w:t>
      </w:r>
    </w:p>
    <w:p>
      <w:pPr>
        <w:spacing w:after="0" w:line="134"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For illustrative purposes, assuming a stock price of $125.28 per share (the closing price of our shares of Class A common stock on the The Nasdaq Stock Market on July 1, 2025), we estimate that our tax withholding obligations on account of remaining vesting events for the third and fourth quarter of 2025 and the first and second quarter of 2026 of approximately $3.6 million, $3.6 million, $6.4 million and $11.6 million, respectively.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debt covenants required cash and cash equivalents held in entities other than our insurance subsidiaries to be at least $50.0 million.</w:t>
      </w:r>
    </w:p>
    <w:p>
      <w:pPr>
        <w:spacing w:after="0" w:line="164"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Through prudent deployment of capital we believe we have sufficient resources, and access to additional debt and equity capital, to adequately meet our obligations as they come due.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8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60" w:type="dxa"/>
            <w:vAlign w:val="bottom"/>
            <w:gridSpan w:val="2"/>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108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77.1</w:t>
            </w:r>
          </w:p>
        </w:tc>
      </w:tr>
      <w:tr>
        <w:trPr>
          <w:trHeight w:val="25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(17.6)</w:t>
            </w:r>
          </w:p>
        </w:tc>
        <w:tc>
          <w:tcPr>
            <w:tcW w:w="10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(74.3)</w:t>
            </w:r>
          </w:p>
        </w:tc>
      </w:tr>
      <w:tr>
        <w:trPr>
          <w:trHeight w:val="25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(19.0)</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r>
    </w:tbl>
    <w:p>
      <w:pPr>
        <w:spacing w:after="0" w:line="233"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was $78.8 million compared to $77.1 million for the six months ended June 30, 2024. The increase in cash provided by operating activities was due to higher net income between the periods and timing of reinsurance receipts. This was partially offset by a change in loss and LAE reserves due to growth in policies in force, timing of reinsurance payments and change in premiums not yet earned due to growth.</w:t>
      </w:r>
    </w:p>
    <w:p>
      <w:pPr>
        <w:spacing w:after="0" w:line="127"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$17.6 million compared to $74.3 million for the six months ended June 30, 2024. The decrease in cash used in investing activities was primarily due to lower purchases of investments and higher proceeds from maturities, calls and pay downs of investments for the six months ended June 30, 2025 compared to the same period in 2024.</w:t>
      </w:r>
    </w:p>
    <w:p>
      <w:pPr>
        <w:spacing w:after="0" w:line="125"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was $19.0 million compared to $14.3 million for the six months ended June 30, 2024. The increase in cash used in financing activities was primarily due to tax withholding obligations arising from the vesting of shares of RSUs and market-based restricted stock units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Material Cash Requirements from Contractual and Other Obligations</w:t>
      </w:r>
    </w:p>
    <w:p>
      <w:pPr>
        <w:spacing w:after="0" w:line="166"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contractual and other obligations from those described in our 2024 10-K. We believe we have sufficient resources, and access to additional debt and equity capital, to adequately meet our obligations as they come due.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ind w:right="680" w:firstLine="318"/>
        <w:spacing w:after="0" w:line="274"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6"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and receivable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21"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are described under the heading “Management’s Discussion and Analysis of Financial Condition and Results of Operations—Critical Accounting Estimates,” in our 2024 10-K and the Notes to Condensed Consolidated Financial Statements appearing elsewhere in this Quarterly Report on Form 10-Q. During the six months ended June 30, 2025, there were no material changes to our critical accounting estimates from those discussed in our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have been no material changes in the quantitative and qualitative market risk disclosures included in the 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2" w:name="page43"/>
    <w:bookmarkEnd w:id="4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June 30, 2025.</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6"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2025 that have materially affected, or are reasonably likely to materially affect, our internal control over financial reporting.</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the 2024 10-K. In addition to the other information set forth in this Quarterly Report on Form 10-Q, you should carefully consider the risk factors discussed in Part I, Item 1A. “Risk Factors,” in the 2024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5" w:name="page46"/>
    <w:bookmarkEnd w:id="45"/>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68"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We have never declared or paid cash dividends on our stock. We currently intend to retain all available funds and future earnings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 Repurchase and Working Capital Restrictions</w:t>
      </w:r>
    </w:p>
    <w:p>
      <w:pPr>
        <w:spacing w:after="0" w:line="168"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11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See the section titled “Risk Factors—Risks Related to Our Business—Failure to maintain our risk-based capital at the required levels could adversely affect our ability to maintain regulatory authority to conduct our business,” included in the 2024 10-K.</w:t>
      </w:r>
    </w:p>
    <w:p>
      <w:pPr>
        <w:spacing w:after="0" w:line="127"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supervisory DOIs may, in the future, adopt statutory provisions more restrictive than those currently in effect.</w:t>
      </w:r>
    </w:p>
    <w:p>
      <w:pPr>
        <w:spacing w:after="0" w:line="125"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Further, the Amended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Amended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6" w:name="page47"/>
    <w:bookmarkEnd w:id="4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8" w:name="page49"/>
    <w:bookmarkEnd w:id="48"/>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860" w:type="dxa"/>
            <w:vAlign w:val="bottom"/>
            <w:gridSpan w:val="2"/>
            <w:vMerge w:val="restart"/>
          </w:tcPr>
          <w:p>
            <w:pPr>
              <w:jc w:val="center"/>
              <w:ind w:right="732"/>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860" w:type="dxa"/>
            <w:vAlign w:val="bottom"/>
            <w:gridSpan w:val="2"/>
            <w:vMerge w:val="continue"/>
          </w:tcPr>
          <w:p>
            <w:pPr>
              <w:spacing w:after="0"/>
              <w:rPr>
                <w:sz w:val="13"/>
                <w:szCs w:val="13"/>
                <w:color w:val="auto"/>
              </w:rPr>
            </w:pPr>
          </w:p>
        </w:tc>
        <w:tc>
          <w:tcPr>
            <w:tcW w:w="3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60" w:type="dxa"/>
            <w:vAlign w:val="bottom"/>
            <w:gridSpan w:val="2"/>
          </w:tcPr>
          <w:p>
            <w:pPr>
              <w:jc w:val="center"/>
              <w:ind w:right="7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SEC File Number</w:t>
            </w: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382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8"/>
              </w:rPr>
            </w:pPr>
            <w:hyperlink r:id="rId80">
              <w:r>
                <w:rPr>
                  <w:rFonts w:ascii="Times New Roman" w:cs="Times New Roman" w:eastAsia="Times New Roman" w:hAnsi="Times New Roman"/>
                  <w:sz w:val="16"/>
                  <w:szCs w:val="16"/>
                  <w:color w:val="0000FF"/>
                  <w:w w:val="98"/>
                </w:rPr>
                <w:t>Amended and Restated Certificate of Incorporation of Root,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9"/>
        </w:trPr>
        <w:tc>
          <w:tcPr>
            <w:tcW w:w="1120" w:type="dxa"/>
            <w:vAlign w:val="bottom"/>
          </w:tcPr>
          <w:p>
            <w:pPr>
              <w:spacing w:after="0"/>
              <w:rPr>
                <w:sz w:val="12"/>
                <w:szCs w:val="12"/>
                <w:color w:val="auto"/>
              </w:rPr>
            </w:pPr>
          </w:p>
        </w:tc>
        <w:tc>
          <w:tcPr>
            <w:tcW w:w="240" w:type="dxa"/>
            <w:vAlign w:val="bottom"/>
            <w:tcBorders>
              <w:bottom w:val="single" w:sz="8" w:color="0000FF"/>
            </w:tcBorders>
          </w:tcPr>
          <w:p>
            <w:pPr>
              <w:spacing w:after="0" w:line="139" w:lineRule="exact"/>
              <w:rPr>
                <w:rFonts w:ascii="Times New Roman" w:cs="Times New Roman" w:eastAsia="Times New Roman" w:hAnsi="Times New Roman"/>
                <w:sz w:val="16"/>
                <w:szCs w:val="16"/>
                <w:color w:val="0000FF"/>
                <w:w w:val="89"/>
              </w:rPr>
            </w:pPr>
            <w:hyperlink r:id="rId80">
              <w:r>
                <w:rPr>
                  <w:rFonts w:ascii="Times New Roman" w:cs="Times New Roman" w:eastAsia="Times New Roman" w:hAnsi="Times New Roman"/>
                  <w:sz w:val="16"/>
                  <w:szCs w:val="16"/>
                  <w:color w:val="0000FF"/>
                  <w:w w:val="89"/>
                </w:rPr>
                <w:t>Inc.</w:t>
              </w:r>
            </w:hyperlink>
          </w:p>
        </w:tc>
        <w:tc>
          <w:tcPr>
            <w:tcW w:w="3580" w:type="dxa"/>
            <w:vAlign w:val="bottom"/>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3900" w:type="dxa"/>
            <w:vAlign w:val="bottom"/>
            <w:gridSpan w:val="29"/>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Certificate of Amendment to Amended and Restated</w:t>
              </w:r>
            </w:hyperlink>
          </w:p>
        </w:tc>
      </w:tr>
      <w:tr>
        <w:trPr>
          <w:trHeight w:val="139"/>
        </w:trPr>
        <w:tc>
          <w:tcPr>
            <w:tcW w:w="1120" w:type="dxa"/>
            <w:vAlign w:val="bottom"/>
          </w:tcPr>
          <w:p>
            <w:pPr>
              <w:spacing w:after="0"/>
              <w:rPr>
                <w:sz w:val="12"/>
                <w:szCs w:val="12"/>
                <w:color w:val="auto"/>
              </w:rPr>
            </w:pPr>
          </w:p>
        </w:tc>
        <w:tc>
          <w:tcPr>
            <w:tcW w:w="3340" w:type="dxa"/>
            <w:vAlign w:val="bottom"/>
            <w:tcBorders>
              <w:top w:val="single" w:sz="8" w:color="0000FF"/>
            </w:tcBorders>
            <w:gridSpan w:val="11"/>
          </w:tcPr>
          <w:p>
            <w:pPr>
              <w:spacing w:after="0" w:line="139"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Certificate of Incorporation of Root, Inc.</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284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r:id="rId82">
              <w:r>
                <w:rPr>
                  <w:rFonts w:ascii="Times New Roman" w:cs="Times New Roman" w:eastAsia="Times New Roman" w:hAnsi="Times New Roman"/>
                  <w:sz w:val="16"/>
                  <w:szCs w:val="16"/>
                  <w:color w:val="0000FF"/>
                  <w:w w:val="98"/>
                </w:rPr>
                <w:t>Amended and Restated Bylaws of Root, Inc.</w:t>
              </w:r>
            </w:hyperlink>
          </w:p>
        </w:tc>
        <w:tc>
          <w:tcPr>
            <w:tcW w:w="1060" w:type="dxa"/>
            <w:vAlign w:val="bottom"/>
            <w:gridSpan w:val="21"/>
          </w:tcPr>
          <w:p>
            <w:pPr>
              <w:spacing w:after="0"/>
              <w:rPr>
                <w:sz w:val="21"/>
                <w:szCs w:val="21"/>
                <w:color w:val="auto"/>
              </w:rPr>
            </w:pPr>
          </w:p>
        </w:tc>
      </w:tr>
      <w:tr>
        <w:trPr>
          <w:trHeight w:val="27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3900" w:type="dxa"/>
            <w:vAlign w:val="bottom"/>
            <w:gridSpan w:val="29"/>
          </w:tcPr>
          <w:p>
            <w:pPr>
              <w:spacing w:after="0"/>
              <w:rPr>
                <w:rFonts w:ascii="Times New Roman" w:cs="Times New Roman" w:eastAsia="Times New Roman" w:hAnsi="Times New Roman"/>
                <w:sz w:val="16"/>
                <w:szCs w:val="16"/>
                <w:color w:val="0000FF"/>
                <w:w w:val="99"/>
              </w:rPr>
            </w:pPr>
            <w:hyperlink r:id="rId83">
              <w:r>
                <w:rPr>
                  <w:rFonts w:ascii="Times New Roman" w:cs="Times New Roman" w:eastAsia="Times New Roman" w:hAnsi="Times New Roman"/>
                  <w:sz w:val="16"/>
                  <w:szCs w:val="16"/>
                  <w:color w:val="0000FF"/>
                  <w:w w:val="99"/>
                </w:rPr>
                <w:t>Certificate of Designations of Series A Preferred Stock, filed</w:t>
              </w:r>
            </w:hyperlink>
          </w:p>
        </w:tc>
      </w:tr>
      <w:tr>
        <w:trPr>
          <w:trHeight w:val="139"/>
        </w:trPr>
        <w:tc>
          <w:tcPr>
            <w:tcW w:w="112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20"/>
          </w:tcPr>
          <w:p>
            <w:pPr>
              <w:spacing w:after="0" w:line="139" w:lineRule="exact"/>
              <w:rPr>
                <w:rFonts w:ascii="Times New Roman" w:cs="Times New Roman" w:eastAsia="Times New Roman" w:hAnsi="Times New Roman"/>
                <w:sz w:val="16"/>
                <w:szCs w:val="16"/>
                <w:color w:val="0000FF"/>
                <w:w w:val="99"/>
              </w:rPr>
            </w:pPr>
            <w:hyperlink r:id="rId83">
              <w:r>
                <w:rPr>
                  <w:rFonts w:ascii="Times New Roman" w:cs="Times New Roman" w:eastAsia="Times New Roman" w:hAnsi="Times New Roman"/>
                  <w:sz w:val="16"/>
                  <w:szCs w:val="16"/>
                  <w:color w:val="0000FF"/>
                  <w:w w:val="99"/>
                </w:rPr>
                <w:t>with the Delaware Secretary of State on October 1, 2021</w:t>
              </w:r>
            </w:hyperlink>
          </w:p>
        </w:tc>
        <w:tc>
          <w:tcPr>
            <w:tcW w:w="26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3900" w:type="dxa"/>
            <w:vAlign w:val="bottom"/>
            <w:gridSpan w:val="29"/>
          </w:tcPr>
          <w:p>
            <w:pPr>
              <w:spacing w:after="0"/>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Form of Class A common stock certificate of the Registrant.</w:t>
              </w:r>
            </w:hyperlink>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370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6"/>
                <w:szCs w:val="16"/>
                <w:color w:val="0000FF"/>
                <w:w w:val="98"/>
              </w:rPr>
            </w:pPr>
            <w:hyperlink r:id="rId85">
              <w:r>
                <w:rPr>
                  <w:rFonts w:ascii="Times New Roman" w:cs="Times New Roman" w:eastAsia="Times New Roman" w:hAnsi="Times New Roman"/>
                  <w:sz w:val="16"/>
                  <w:szCs w:val="16"/>
                  <w:color w:val="0000FF"/>
                  <w:w w:val="98"/>
                </w:rPr>
                <w:t>Common Stock Purchase Warrants, dated as of October 1,</w:t>
              </w:r>
            </w:hyperlink>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gridSpan w:val="2"/>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gridSpan w:val="2"/>
          </w:tcPr>
          <w:p>
            <w:pPr>
              <w:spacing w:after="0"/>
              <w:rPr>
                <w:sz w:val="23"/>
                <w:szCs w:val="23"/>
                <w:color w:val="auto"/>
              </w:rPr>
            </w:pPr>
          </w:p>
        </w:tc>
      </w:tr>
      <w:tr>
        <w:trPr>
          <w:trHeight w:val="139"/>
        </w:trPr>
        <w:tc>
          <w:tcPr>
            <w:tcW w:w="1120" w:type="dxa"/>
            <w:vAlign w:val="bottom"/>
          </w:tcPr>
          <w:p>
            <w:pPr>
              <w:spacing w:after="0"/>
              <w:rPr>
                <w:sz w:val="12"/>
                <w:szCs w:val="12"/>
                <w:color w:val="auto"/>
              </w:rPr>
            </w:pPr>
          </w:p>
        </w:tc>
        <w:tc>
          <w:tcPr>
            <w:tcW w:w="3700" w:type="dxa"/>
            <w:vAlign w:val="bottom"/>
            <w:tcBorders>
              <w:bottom w:val="single" w:sz="8" w:color="0000FF"/>
            </w:tcBorders>
            <w:gridSpan w:val="22"/>
          </w:tcPr>
          <w:p>
            <w:pPr>
              <w:spacing w:after="0" w:line="139" w:lineRule="exact"/>
              <w:rPr>
                <w:rFonts w:ascii="Times New Roman" w:cs="Times New Roman" w:eastAsia="Times New Roman" w:hAnsi="Times New Roman"/>
                <w:sz w:val="16"/>
                <w:szCs w:val="16"/>
                <w:color w:val="0000FF"/>
                <w:w w:val="97"/>
              </w:rPr>
            </w:pPr>
            <w:hyperlink r:id="rId85">
              <w:r>
                <w:rPr>
                  <w:rFonts w:ascii="Times New Roman" w:cs="Times New Roman" w:eastAsia="Times New Roman" w:hAnsi="Times New Roman"/>
                  <w:sz w:val="16"/>
                  <w:szCs w:val="16"/>
                  <w:color w:val="0000FF"/>
                  <w:w w:val="97"/>
                </w:rPr>
                <w:t>2021, by and between Root, Inc. and Carvana Group, LLC</w:t>
              </w:r>
            </w:hyperlink>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3900" w:type="dxa"/>
            <w:vAlign w:val="bottom"/>
            <w:gridSpan w:val="29"/>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Form of Common Stock Purchase Warrant (Tranche 1),</w:t>
              </w:r>
            </w:hyperlink>
          </w:p>
        </w:tc>
      </w:tr>
      <w:tr>
        <w:trPr>
          <w:trHeight w:val="139"/>
        </w:trPr>
        <w:tc>
          <w:tcPr>
            <w:tcW w:w="112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6"/>
                <w:szCs w:val="16"/>
                <w:color w:val="0000FF"/>
                <w:w w:val="98"/>
              </w:rPr>
            </w:pPr>
            <w:hyperlink r:id="rId86">
              <w:r>
                <w:rPr>
                  <w:rFonts w:ascii="Times New Roman" w:cs="Times New Roman" w:eastAsia="Times New Roman" w:hAnsi="Times New Roman"/>
                  <w:sz w:val="16"/>
                  <w:szCs w:val="16"/>
                  <w:color w:val="0000FF"/>
                  <w:w w:val="98"/>
                </w:rPr>
                <w:t>dated January 26, 2022</w:t>
              </w:r>
            </w:hyperlink>
          </w:p>
        </w:tc>
        <w:tc>
          <w:tcPr>
            <w:tcW w:w="2080" w:type="dxa"/>
            <w:vAlign w:val="bottom"/>
            <w:tcBorders>
              <w:top w:val="single" w:sz="8" w:color="0000FF"/>
            </w:tcBorders>
            <w:gridSpan w:val="1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3900" w:type="dxa"/>
            <w:vAlign w:val="bottom"/>
            <w:gridSpan w:val="29"/>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First Amendment to Form of Common Stock Purchase</w:t>
              </w:r>
            </w:hyperlink>
          </w:p>
        </w:tc>
      </w:tr>
      <w:tr>
        <w:trPr>
          <w:trHeight w:val="139"/>
        </w:trPr>
        <w:tc>
          <w:tcPr>
            <w:tcW w:w="1120" w:type="dxa"/>
            <w:vAlign w:val="bottom"/>
          </w:tcPr>
          <w:p>
            <w:pPr>
              <w:spacing w:after="0"/>
              <w:rPr>
                <w:sz w:val="12"/>
                <w:szCs w:val="12"/>
                <w:color w:val="auto"/>
              </w:rPr>
            </w:pPr>
          </w:p>
        </w:tc>
        <w:tc>
          <w:tcPr>
            <w:tcW w:w="2860" w:type="dxa"/>
            <w:vAlign w:val="bottom"/>
            <w:tcBorders>
              <w:top w:val="single" w:sz="8" w:color="0000FF"/>
              <w:bottom w:val="single" w:sz="8" w:color="0000FF"/>
            </w:tcBorders>
            <w:gridSpan w:val="9"/>
          </w:tcPr>
          <w:p>
            <w:pPr>
              <w:spacing w:after="0" w:line="139" w:lineRule="exact"/>
              <w:rPr>
                <w:rFonts w:ascii="Times New Roman" w:cs="Times New Roman" w:eastAsia="Times New Roman" w:hAnsi="Times New Roman"/>
                <w:sz w:val="16"/>
                <w:szCs w:val="16"/>
                <w:color w:val="0000FF"/>
                <w:w w:val="98"/>
              </w:rPr>
            </w:pPr>
            <w:hyperlink r:id="rId87">
              <w:r>
                <w:rPr>
                  <w:rFonts w:ascii="Times New Roman" w:cs="Times New Roman" w:eastAsia="Times New Roman" w:hAnsi="Times New Roman"/>
                  <w:sz w:val="16"/>
                  <w:szCs w:val="16"/>
                  <w:color w:val="0000FF"/>
                  <w:w w:val="98"/>
                </w:rPr>
                <w:t>Warrant (Tranche 1), dated October 29, 2024</w:t>
              </w:r>
            </w:hyperlink>
          </w:p>
        </w:tc>
        <w:tc>
          <w:tcPr>
            <w:tcW w:w="6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5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w w:val="99"/>
              </w:rPr>
              <w:t>Amended and Restated Form of Root, Inc. 2020 Equity</w:t>
            </w: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3"/>
          </w:tcPr>
          <w:p>
            <w:pPr>
              <w:spacing w:after="0"/>
              <w:rPr>
                <w:sz w:val="21"/>
                <w:szCs w:val="21"/>
                <w:color w:val="auto"/>
              </w:rPr>
            </w:pP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r>
      <w:tr>
        <w:trPr>
          <w:trHeight w:val="139"/>
        </w:trPr>
        <w:tc>
          <w:tcPr>
            <w:tcW w:w="1120" w:type="dxa"/>
            <w:vAlign w:val="bottom"/>
          </w:tcPr>
          <w:p>
            <w:pPr>
              <w:spacing w:after="0"/>
              <w:rPr>
                <w:sz w:val="12"/>
                <w:szCs w:val="12"/>
                <w:color w:val="auto"/>
              </w:rPr>
            </w:pPr>
          </w:p>
        </w:tc>
        <w:tc>
          <w:tcPr>
            <w:tcW w:w="3540" w:type="dxa"/>
            <w:vAlign w:val="bottom"/>
            <w:gridSpan w:val="17"/>
          </w:tcPr>
          <w:p>
            <w:pPr>
              <w:spacing w:after="0" w:line="139" w:lineRule="exact"/>
              <w:rPr>
                <w:sz w:val="20"/>
                <w:szCs w:val="20"/>
                <w:color w:val="auto"/>
              </w:rPr>
            </w:pPr>
            <w:r>
              <w:rPr>
                <w:rFonts w:ascii="Times New Roman" w:cs="Times New Roman" w:eastAsia="Times New Roman" w:hAnsi="Times New Roman"/>
                <w:sz w:val="16"/>
                <w:szCs w:val="16"/>
                <w:color w:val="0000FF"/>
              </w:rPr>
              <w:t>Incentive Plan Performance-Based RSU Award Grant</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3420" w:type="dxa"/>
            <w:vAlign w:val="bottom"/>
            <w:tcBorders>
              <w:top w:val="single" w:sz="8" w:color="0000FF"/>
            </w:tcBorders>
            <w:gridSpan w:val="12"/>
          </w:tcPr>
          <w:p>
            <w:pPr>
              <w:spacing w:after="0" w:line="139" w:lineRule="exact"/>
              <w:rPr>
                <w:sz w:val="20"/>
                <w:szCs w:val="20"/>
                <w:color w:val="auto"/>
              </w:rPr>
            </w:pPr>
            <w:r>
              <w:rPr>
                <w:rFonts w:ascii="Times New Roman" w:cs="Times New Roman" w:eastAsia="Times New Roman" w:hAnsi="Times New Roman"/>
                <w:sz w:val="16"/>
                <w:szCs w:val="16"/>
                <w:color w:val="0000FF"/>
              </w:rPr>
              <w:t>Notice and Agreement (2024 Grant)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Amended and Restated Form of Root, Inc. 2020 Equity</w:t>
            </w:r>
          </w:p>
        </w:tc>
      </w:tr>
      <w:tr>
        <w:trPr>
          <w:trHeight w:val="139"/>
        </w:trPr>
        <w:tc>
          <w:tcPr>
            <w:tcW w:w="11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13"/>
          </w:tcPr>
          <w:p>
            <w:pPr>
              <w:spacing w:after="0" w:line="139" w:lineRule="exact"/>
              <w:rPr>
                <w:sz w:val="20"/>
                <w:szCs w:val="20"/>
                <w:color w:val="auto"/>
              </w:rPr>
            </w:pPr>
            <w:r>
              <w:rPr>
                <w:rFonts w:ascii="Times New Roman" w:cs="Times New Roman" w:eastAsia="Times New Roman" w:hAnsi="Times New Roman"/>
                <w:sz w:val="16"/>
                <w:szCs w:val="16"/>
                <w:color w:val="0000FF"/>
                <w:w w:val="99"/>
              </w:rPr>
              <w:t>Incentive Plan Performance-Based RSU Award Grant</w:t>
            </w:r>
          </w:p>
        </w:tc>
        <w:tc>
          <w:tcPr>
            <w:tcW w:w="100" w:type="dxa"/>
            <w:vAlign w:val="bottom"/>
            <w:tcBorders>
              <w:top w:val="single" w:sz="8" w:color="0000FF"/>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3620" w:type="dxa"/>
            <w:vAlign w:val="bottom"/>
            <w:tcBorders>
              <w:bottom w:val="single" w:sz="8" w:color="0000FF"/>
            </w:tcBorders>
            <w:gridSpan w:val="20"/>
          </w:tcPr>
          <w:p>
            <w:pPr>
              <w:spacing w:after="0" w:line="139" w:lineRule="exact"/>
              <w:rPr>
                <w:sz w:val="20"/>
                <w:szCs w:val="20"/>
                <w:color w:val="auto"/>
              </w:rPr>
            </w:pPr>
            <w:r>
              <w:rPr>
                <w:rFonts w:ascii="Times New Roman" w:cs="Times New Roman" w:eastAsia="Times New Roman" w:hAnsi="Times New Roman"/>
                <w:sz w:val="16"/>
                <w:szCs w:val="16"/>
                <w:color w:val="0000FF"/>
                <w:w w:val="99"/>
              </w:rPr>
              <w:t>Notice and Agreement Retirement-Eligible (2024 Grant)</w:t>
            </w:r>
          </w:p>
        </w:tc>
        <w:tc>
          <w:tcPr>
            <w:tcW w:w="280" w:type="dxa"/>
            <w:vAlign w:val="bottom"/>
            <w:gridSpan w:val="9"/>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w w:val="99"/>
              </w:rPr>
              <w:t>Policy for the Acceleration of Equity Awards in the Event of</w:t>
            </w:r>
          </w:p>
        </w:tc>
      </w:tr>
      <w:tr>
        <w:trPr>
          <w:trHeight w:val="139"/>
        </w:trPr>
        <w:tc>
          <w:tcPr>
            <w:tcW w:w="1120" w:type="dxa"/>
            <w:vAlign w:val="bottom"/>
          </w:tcPr>
          <w:p>
            <w:pPr>
              <w:spacing w:after="0"/>
              <w:rPr>
                <w:sz w:val="12"/>
                <w:szCs w:val="12"/>
                <w:color w:val="auto"/>
              </w:rPr>
            </w:pPr>
          </w:p>
        </w:tc>
        <w:tc>
          <w:tcPr>
            <w:tcW w:w="380" w:type="dxa"/>
            <w:vAlign w:val="bottom"/>
            <w:tcBorders>
              <w:top w:val="single" w:sz="8" w:color="0000FF"/>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6"/>
                <w:szCs w:val="16"/>
                <w:color w:val="0000FF"/>
                <w:w w:val="94"/>
              </w:rPr>
              <w:t>Death</w:t>
            </w:r>
          </w:p>
        </w:tc>
        <w:tc>
          <w:tcPr>
            <w:tcW w:w="3480" w:type="dxa"/>
            <w:vAlign w:val="bottom"/>
            <w:tcBorders>
              <w:top w:val="single" w:sz="8" w:color="0000FF"/>
            </w:tcBorders>
            <w:gridSpan w:val="2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Root, Inc. Non-Employee Director Compensation Policy</w:t>
            </w:r>
          </w:p>
        </w:tc>
      </w:tr>
      <w:tr>
        <w:trPr>
          <w:trHeight w:val="139"/>
        </w:trPr>
        <w:tc>
          <w:tcPr>
            <w:tcW w:w="1120" w:type="dxa"/>
            <w:vAlign w:val="bottom"/>
          </w:tcPr>
          <w:p>
            <w:pPr>
              <w:spacing w:after="0"/>
              <w:rPr>
                <w:sz w:val="12"/>
                <w:szCs w:val="12"/>
                <w:color w:val="auto"/>
              </w:rPr>
            </w:pPr>
          </w:p>
        </w:tc>
        <w:tc>
          <w:tcPr>
            <w:tcW w:w="3620" w:type="dxa"/>
            <w:vAlign w:val="bottom"/>
            <w:tcBorders>
              <w:top w:val="single" w:sz="8" w:color="0000FF"/>
            </w:tcBorders>
            <w:gridSpan w:val="20"/>
          </w:tcPr>
          <w:p>
            <w:pPr>
              <w:spacing w:after="0" w:line="139" w:lineRule="exact"/>
              <w:rPr>
                <w:sz w:val="20"/>
                <w:szCs w:val="20"/>
                <w:color w:val="auto"/>
              </w:rPr>
            </w:pPr>
            <w:r>
              <w:rPr>
                <w:rFonts w:ascii="Times New Roman" w:cs="Times New Roman" w:eastAsia="Times New Roman" w:hAnsi="Times New Roman"/>
                <w:sz w:val="16"/>
                <w:szCs w:val="16"/>
                <w:color w:val="0000FF"/>
              </w:rPr>
              <w:t>adopted May 1, 2025</w:t>
            </w: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w:t>
            </w:r>
          </w:p>
        </w:tc>
      </w:tr>
      <w:tr>
        <w:trPr>
          <w:trHeight w:val="166"/>
        </w:trPr>
        <w:tc>
          <w:tcPr>
            <w:tcW w:w="11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10"/>
          </w:tcPr>
          <w:p>
            <w:pPr>
              <w:spacing w:after="0" w:line="165" w:lineRule="exact"/>
              <w:rPr>
                <w:sz w:val="20"/>
                <w:szCs w:val="20"/>
                <w:color w:val="auto"/>
              </w:rPr>
            </w:pPr>
            <w:r>
              <w:rPr>
                <w:rFonts w:ascii="Times New Roman" w:cs="Times New Roman" w:eastAsia="Times New Roman" w:hAnsi="Times New Roman"/>
                <w:sz w:val="16"/>
                <w:szCs w:val="16"/>
                <w:color w:val="0000FF"/>
                <w:w w:val="98"/>
              </w:rPr>
              <w:t>Rules 13a-14(a) and 15d-14(a) under the Securities</w:t>
            </w:r>
          </w:p>
        </w:tc>
        <w:tc>
          <w:tcPr>
            <w:tcW w:w="260" w:type="dxa"/>
            <w:vAlign w:val="bottom"/>
            <w:tcBorders>
              <w:top w:val="single" w:sz="8" w:color="0000FF"/>
            </w:tcBorders>
            <w:gridSpan w:val="6"/>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5"/>
        </w:trPr>
        <w:tc>
          <w:tcPr>
            <w:tcW w:w="1120" w:type="dxa"/>
            <w:vAlign w:val="bottom"/>
          </w:tcPr>
          <w:p>
            <w:pPr>
              <w:spacing w:after="0"/>
              <w:rPr>
                <w:sz w:val="14"/>
                <w:szCs w:val="14"/>
                <w:color w:val="auto"/>
              </w:rPr>
            </w:pPr>
          </w:p>
        </w:tc>
        <w:tc>
          <w:tcPr>
            <w:tcW w:w="3900" w:type="dxa"/>
            <w:vAlign w:val="bottom"/>
            <w:gridSpan w:val="29"/>
          </w:tcPr>
          <w:p>
            <w:pPr>
              <w:spacing w:after="0" w:line="165"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r>
      <w:tr>
        <w:trPr>
          <w:trHeight w:val="152"/>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6"/>
                <w:szCs w:val="16"/>
                <w:color w:val="0000FF"/>
                <w:w w:val="99"/>
              </w:rPr>
              <w:t>of the Sarbanes-Oxley Act of 2002.</w:t>
            </w:r>
          </w:p>
        </w:tc>
        <w:tc>
          <w:tcPr>
            <w:tcW w:w="1480" w:type="dxa"/>
            <w:vAlign w:val="bottom"/>
            <w:tcBorders>
              <w:top w:val="single" w:sz="8" w:color="0000FF"/>
            </w:tcBorders>
            <w:gridSpan w:val="1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w:t>
            </w:r>
          </w:p>
        </w:tc>
      </w:tr>
      <w:tr>
        <w:trPr>
          <w:trHeight w:val="166"/>
        </w:trPr>
        <w:tc>
          <w:tcPr>
            <w:tcW w:w="11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10"/>
          </w:tcPr>
          <w:p>
            <w:pPr>
              <w:spacing w:after="0" w:line="165" w:lineRule="exact"/>
              <w:rPr>
                <w:sz w:val="20"/>
                <w:szCs w:val="20"/>
                <w:color w:val="auto"/>
              </w:rPr>
            </w:pPr>
            <w:r>
              <w:rPr>
                <w:rFonts w:ascii="Times New Roman" w:cs="Times New Roman" w:eastAsia="Times New Roman" w:hAnsi="Times New Roman"/>
                <w:sz w:val="16"/>
                <w:szCs w:val="16"/>
                <w:color w:val="0000FF"/>
                <w:w w:val="98"/>
              </w:rPr>
              <w:t>Rules 13a-14(a) and 15d-14(a) under the Securities</w:t>
            </w:r>
          </w:p>
        </w:tc>
        <w:tc>
          <w:tcPr>
            <w:tcW w:w="220" w:type="dxa"/>
            <w:vAlign w:val="bottom"/>
            <w:tcBorders>
              <w:top w:val="single" w:sz="8" w:color="0000FF"/>
            </w:tcBorders>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3900" w:type="dxa"/>
            <w:vAlign w:val="bottom"/>
            <w:gridSpan w:val="29"/>
          </w:tcPr>
          <w:p>
            <w:pPr>
              <w:spacing w:after="0" w:line="165"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r>
      <w:tr>
        <w:trPr>
          <w:trHeight w:val="152"/>
        </w:trPr>
        <w:tc>
          <w:tcPr>
            <w:tcW w:w="112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6"/>
                <w:szCs w:val="16"/>
                <w:color w:val="0000FF"/>
                <w:w w:val="99"/>
              </w:rPr>
              <w:t>of the Sarbanes-Oxley Act of 2002.</w:t>
            </w:r>
          </w:p>
        </w:tc>
        <w:tc>
          <w:tcPr>
            <w:tcW w:w="1480" w:type="dxa"/>
            <w:vAlign w:val="bottom"/>
            <w:tcBorders>
              <w:top w:val="single" w:sz="8" w:color="0000FF"/>
            </w:tcBorders>
            <w:gridSpan w:val="1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w:t>
            </w:r>
          </w:p>
        </w:tc>
      </w:tr>
      <w:tr>
        <w:trPr>
          <w:trHeight w:val="165"/>
        </w:trPr>
        <w:tc>
          <w:tcPr>
            <w:tcW w:w="1120" w:type="dxa"/>
            <w:vAlign w:val="bottom"/>
          </w:tcPr>
          <w:p>
            <w:pPr>
              <w:spacing w:after="0"/>
              <w:rPr>
                <w:sz w:val="14"/>
                <w:szCs w:val="14"/>
                <w:color w:val="auto"/>
              </w:rPr>
            </w:pPr>
          </w:p>
        </w:tc>
        <w:tc>
          <w:tcPr>
            <w:tcW w:w="3640" w:type="dxa"/>
            <w:vAlign w:val="bottom"/>
            <w:tcBorders>
              <w:top w:val="single" w:sz="8" w:color="0000FF"/>
            </w:tcBorders>
            <w:gridSpan w:val="21"/>
          </w:tcPr>
          <w:p>
            <w:pPr>
              <w:spacing w:after="0" w:line="165" w:lineRule="exact"/>
              <w:rPr>
                <w:sz w:val="20"/>
                <w:szCs w:val="20"/>
                <w:color w:val="auto"/>
              </w:rPr>
            </w:pPr>
            <w:r>
              <w:rPr>
                <w:rFonts w:ascii="Times New Roman" w:cs="Times New Roman" w:eastAsia="Times New Roman" w:hAnsi="Times New Roman"/>
                <w:sz w:val="16"/>
                <w:szCs w:val="16"/>
                <w:color w:val="0000FF"/>
                <w:w w:val="99"/>
              </w:rPr>
              <w:t>Financial Officer Pursuant to 18 U.S.C. Section 1350, as</w:t>
            </w:r>
          </w:p>
        </w:tc>
        <w:tc>
          <w:tcPr>
            <w:tcW w:w="2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3600" w:type="dxa"/>
            <w:vAlign w:val="bottom"/>
            <w:tcBorders>
              <w:top w:val="single" w:sz="8" w:color="0000FF"/>
            </w:tcBorders>
            <w:gridSpan w:val="19"/>
          </w:tcPr>
          <w:p>
            <w:pPr>
              <w:spacing w:after="0" w:line="165" w:lineRule="exact"/>
              <w:rPr>
                <w:sz w:val="20"/>
                <w:szCs w:val="20"/>
                <w:color w:val="auto"/>
              </w:rPr>
            </w:pPr>
            <w:r>
              <w:rPr>
                <w:rFonts w:ascii="Times New Roman" w:cs="Times New Roman" w:eastAsia="Times New Roman" w:hAnsi="Times New Roman"/>
                <w:sz w:val="16"/>
                <w:szCs w:val="16"/>
                <w:color w:val="0000FF"/>
                <w:w w:val="99"/>
              </w:rPr>
              <w:t>Adopted Pursuant to Section 906 of the Sarbanes-Oxley</w:t>
            </w:r>
          </w:p>
        </w:tc>
        <w:tc>
          <w:tcPr>
            <w:tcW w:w="300" w:type="dxa"/>
            <w:vAlign w:val="bottom"/>
            <w:gridSpan w:val="10"/>
          </w:tcPr>
          <w:p>
            <w:pPr>
              <w:spacing w:after="0" w:line="165" w:lineRule="exact"/>
              <w:rPr>
                <w:sz w:val="20"/>
                <w:szCs w:val="20"/>
                <w:color w:val="auto"/>
              </w:rPr>
            </w:pPr>
            <w:r>
              <w:rPr>
                <w:rFonts w:ascii="Times New Roman" w:cs="Times New Roman" w:eastAsia="Times New Roman" w:hAnsi="Times New Roman"/>
                <w:sz w:val="16"/>
                <w:szCs w:val="16"/>
                <w:color w:val="0000FF"/>
              </w:rPr>
              <w:t>Act</w:t>
            </w:r>
          </w:p>
        </w:tc>
      </w:tr>
      <w:tr>
        <w:trPr>
          <w:trHeight w:val="152"/>
        </w:trPr>
        <w:tc>
          <w:tcPr>
            <w:tcW w:w="1120" w:type="dxa"/>
            <w:vAlign w:val="bottom"/>
          </w:tcPr>
          <w:p>
            <w:pPr>
              <w:spacing w:after="0"/>
              <w:rPr>
                <w:sz w:val="13"/>
                <w:szCs w:val="13"/>
                <w:color w:val="auto"/>
              </w:rPr>
            </w:pPr>
          </w:p>
        </w:tc>
        <w:tc>
          <w:tcPr>
            <w:tcW w:w="3840" w:type="dxa"/>
            <w:vAlign w:val="bottom"/>
            <w:tcBorders>
              <w:top w:val="single" w:sz="8" w:color="0000FF"/>
            </w:tcBorders>
            <w:gridSpan w:val="26"/>
          </w:tcPr>
          <w:p>
            <w:pPr>
              <w:spacing w:after="0" w:line="152" w:lineRule="exact"/>
              <w:rPr>
                <w:sz w:val="20"/>
                <w:szCs w:val="20"/>
                <w:color w:val="auto"/>
              </w:rPr>
            </w:pPr>
            <w:r>
              <w:rPr>
                <w:rFonts w:ascii="Times New Roman" w:cs="Times New Roman" w:eastAsia="Times New Roman" w:hAnsi="Times New Roman"/>
                <w:sz w:val="16"/>
                <w:szCs w:val="16"/>
                <w:color w:val="0000FF"/>
              </w:rPr>
              <w:t>of 2002.</w:t>
            </w:r>
          </w:p>
        </w:tc>
        <w:tc>
          <w:tcPr>
            <w:tcW w:w="60" w:type="dxa"/>
            <w:vAlign w:val="bottom"/>
            <w:gridSpan w:val="3"/>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380" w:type="dxa"/>
            <w:vAlign w:val="bottom"/>
            <w:gridSpan w:val="26"/>
          </w:tcPr>
          <w:p>
            <w:pPr>
              <w:spacing w:after="0" w:line="20" w:lineRule="exact"/>
              <w:rPr>
                <w:sz w:val="1"/>
                <w:szCs w:val="1"/>
                <w:color w:val="auto"/>
              </w:rPr>
            </w:pPr>
          </w:p>
        </w:tc>
      </w:tr>
      <w:tr>
        <w:trPr>
          <w:trHeight w:val="306"/>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9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4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08"/>
        </w:trPr>
        <w:tc>
          <w:tcPr>
            <w:tcW w:w="1120" w:type="dxa"/>
            <w:vAlign w:val="bottom"/>
          </w:tcPr>
          <w:p>
            <w:pPr>
              <w:spacing w:after="0"/>
              <w:rPr>
                <w:sz w:val="18"/>
                <w:szCs w:val="18"/>
                <w:color w:val="auto"/>
              </w:rPr>
            </w:pPr>
          </w:p>
        </w:tc>
        <w:tc>
          <w:tcPr>
            <w:tcW w:w="3900" w:type="dxa"/>
            <w:vAlign w:val="bottom"/>
            <w:gridSpan w:val="29"/>
          </w:tcPr>
          <w:p>
            <w:pPr>
              <w:spacing w:after="0"/>
              <w:rPr>
                <w:sz w:val="20"/>
                <w:szCs w:val="20"/>
                <w:color w:val="auto"/>
              </w:rPr>
            </w:pPr>
            <w:r>
              <w:rPr>
                <w:rFonts w:ascii="Times New Roman" w:cs="Times New Roman" w:eastAsia="Times New Roman" w:hAnsi="Times New Roman"/>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3.1</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October 30, 2020</w:t>
            </w:r>
          </w:p>
        </w:tc>
      </w:tr>
      <w:tr>
        <w:trPr>
          <w:trHeight w:val="424"/>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3.1</w:t>
            </w:r>
          </w:p>
        </w:tc>
        <w:tc>
          <w:tcPr>
            <w:tcW w:w="146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9"/>
              </w:rPr>
              <w:t>August 15, 2022</w:t>
            </w:r>
          </w:p>
        </w:tc>
      </w:tr>
      <w:tr>
        <w:trPr>
          <w:trHeight w:val="358"/>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3.3</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w w:val="98"/>
              </w:rPr>
              <w:t>February 22, 2023</w:t>
            </w:r>
          </w:p>
        </w:tc>
      </w:tr>
      <w:tr>
        <w:trPr>
          <w:trHeight w:val="358"/>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3.1</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October 1, 2021</w:t>
            </w:r>
          </w:p>
        </w:tc>
      </w:tr>
      <w:tr>
        <w:trPr>
          <w:trHeight w:val="358"/>
        </w:trPr>
        <w:tc>
          <w:tcPr>
            <w:tcW w:w="680" w:type="dxa"/>
            <w:vAlign w:val="bottom"/>
          </w:tcPr>
          <w:p>
            <w:pPr>
              <w:jc w:val="center"/>
              <w:ind w:right="221"/>
              <w:spacing w:after="0"/>
              <w:rPr>
                <w:sz w:val="20"/>
                <w:szCs w:val="20"/>
                <w:color w:val="auto"/>
              </w:rPr>
            </w:pPr>
            <w:r>
              <w:rPr>
                <w:rFonts w:ascii="Times New Roman" w:cs="Times New Roman" w:eastAsia="Times New Roman" w:hAnsi="Times New Roman"/>
                <w:sz w:val="16"/>
                <w:szCs w:val="16"/>
                <w:color w:val="auto"/>
                <w:w w:val="99"/>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October 20, 2020</w:t>
            </w:r>
          </w:p>
        </w:tc>
      </w:tr>
      <w:tr>
        <w:trPr>
          <w:trHeight w:val="358"/>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October 1, 2021</w:t>
            </w:r>
          </w:p>
        </w:tc>
      </w:tr>
      <w:tr>
        <w:trPr>
          <w:trHeight w:val="424"/>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w w:val="98"/>
              </w:rPr>
              <w:t>January 27, 2022</w:t>
            </w:r>
          </w:p>
        </w:tc>
      </w:tr>
      <w:tr>
        <w:trPr>
          <w:trHeight w:val="424"/>
        </w:trPr>
        <w:tc>
          <w:tcPr>
            <w:tcW w:w="68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7"/>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4.5</w:t>
            </w:r>
          </w:p>
        </w:tc>
        <w:tc>
          <w:tcPr>
            <w:tcW w:w="14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October 30, 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522" w:lineRule="exact"/>
        <w:rPr>
          <w:sz w:val="20"/>
          <w:szCs w:val="20"/>
          <w:color w:val="auto"/>
        </w:rPr>
      </w:pPr>
    </w:p>
    <w:p>
      <w:pPr>
        <w:sectPr>
          <w:pgSz w:w="11900" w:h="16838" w:orient="portrait"/>
          <w:cols w:equalWidth="0" w:num="3">
            <w:col w:w="5000" w:space="180"/>
            <w:col w:w="4600" w:space="720"/>
            <w:col w:w="740"/>
          </w:cols>
          <w:pgMar w:left="320" w:top="13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50" w:name="page51"/>
    <w:bookmarkEnd w:id="50"/>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101.DEF</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contained in Exhibit 101).</w:t>
      </w:r>
    </w:p>
    <w:p>
      <w:pPr>
        <w:spacing w:after="0" w:line="134" w:lineRule="exact"/>
        <w:rPr>
          <w:sz w:val="20"/>
          <w:szCs w:val="20"/>
          <w:color w:val="auto"/>
        </w:rPr>
      </w:pPr>
    </w:p>
    <w:p>
      <w:pPr>
        <w:sectPr>
          <w:pgSz w:w="11900" w:h="16838" w:orient="portrait"/>
          <w:cols w:equalWidth="0" w:num="2">
            <w:col w:w="620" w:space="520"/>
            <w:col w:w="9640"/>
          </w:cols>
          <w:pgMar w:left="320" w:top="1404" w:right="79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4" w:lineRule="exact"/>
        <w:rPr>
          <w:sz w:val="20"/>
          <w:szCs w:val="20"/>
          <w:color w:val="auto"/>
        </w:rPr>
      </w:pPr>
    </w:p>
    <w:p>
      <w:pPr>
        <w:ind w:left="80" w:hanging="74"/>
        <w:spacing w:after="0" w:line="267" w:lineRule="auto"/>
        <w:tabs>
          <w:tab w:leader="none" w:pos="10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80"/>
          </w:cols>
          <w:pgMar w:left="320" w:top="1404" w:right="799" w:bottom="1440" w:gutter="0" w:footer="0" w:header="0"/>
          <w:type w:val="continuous"/>
        </w:sectPr>
      </w:pPr>
    </w:p>
    <w:bookmarkStart w:id="51" w:name="page52"/>
    <w:bookmarkEnd w:id="51"/>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Root, Inc.</w:t>
      </w:r>
    </w:p>
    <w:p>
      <w:pPr>
        <w:sectPr>
          <w:pgSz w:w="11900" w:h="16838" w:orient="portrait"/>
          <w:cols w:equalWidth="0" w:num="1">
            <w:col w:w="10400"/>
          </w:cols>
          <w:pgMar w:left="320" w:top="1312" w:right="1179" w:bottom="1440" w:gutter="0" w:footer="0" w:header="0"/>
        </w:sectPr>
      </w:pPr>
    </w:p>
    <w:p>
      <w:pPr>
        <w:spacing w:after="0" w:line="310" w:lineRule="exact"/>
        <w:rPr>
          <w:sz w:val="20"/>
          <w:szCs w:val="20"/>
          <w:color w:val="auto"/>
        </w:rPr>
      </w:pPr>
    </w:p>
    <w:p>
      <w:pPr>
        <w:ind w:left="34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14605</wp:posOffset>
            </wp:positionV>
            <wp:extent cx="3890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890645" cy="825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Alexander Timm</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949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94970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Binkley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Forish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949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394970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Forish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640" w:space="500"/>
            <w:col w:w="5260"/>
          </w:cols>
          <w:pgMar w:left="320" w:top="1312"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400"/>
          </w:cols>
          <w:pgMar w:left="320" w:top="1312" w:right="117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b w:val="1"/>
          <w:bCs w:val="1"/>
          <w:color w:val="auto"/>
        </w:rPr>
        <w:t>ROOT, INC.</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2020 EQUITY INCENTIVE PLAN</w:t>
      </w:r>
    </w:p>
    <w:p>
      <w:pPr>
        <w:ind w:left="2440"/>
        <w:spacing w:after="0"/>
        <w:rPr>
          <w:sz w:val="20"/>
          <w:szCs w:val="20"/>
          <w:color w:val="auto"/>
        </w:rPr>
      </w:pPr>
      <w:r>
        <w:rPr>
          <w:rFonts w:ascii="Times New Roman" w:cs="Times New Roman" w:eastAsia="Times New Roman" w:hAnsi="Times New Roman"/>
          <w:sz w:val="19"/>
          <w:szCs w:val="19"/>
          <w:b w:val="1"/>
          <w:bCs w:val="1"/>
          <w:color w:val="auto"/>
        </w:rPr>
        <w:t>AMENDED AND RESTATED AWARD AGREEMENT (Performance-Based RSU AWARD)</w:t>
      </w:r>
    </w:p>
    <w:p>
      <w:pPr>
        <w:spacing w:after="0" w:line="193" w:lineRule="exact"/>
        <w:rPr>
          <w:sz w:val="20"/>
          <w:szCs w:val="20"/>
          <w:color w:val="auto"/>
        </w:rPr>
      </w:pPr>
    </w:p>
    <w:p>
      <w:pPr>
        <w:ind w:firstLine="636"/>
        <w:spacing w:after="0" w:line="218" w:lineRule="auto"/>
        <w:rPr>
          <w:sz w:val="20"/>
          <w:szCs w:val="20"/>
          <w:color w:val="auto"/>
        </w:rPr>
      </w:pPr>
      <w:r>
        <w:rPr>
          <w:rFonts w:ascii="Times New Roman" w:cs="Times New Roman" w:eastAsia="Times New Roman" w:hAnsi="Times New Roman"/>
          <w:sz w:val="19"/>
          <w:szCs w:val="19"/>
          <w:color w:val="auto"/>
        </w:rPr>
        <w:t>As reflected by your Restricted Stock Unit Grant Notice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Root,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you a RSU Award under its 2020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for the number of performance-based restricted stock units as indicated in your Grant Notice</w:t>
      </w:r>
    </w:p>
    <w:p>
      <w:pPr>
        <w:spacing w:after="0" w:line="196"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RSU Award</w:t>
      </w:r>
      <w:r>
        <w:rPr>
          <w:rFonts w:ascii="Times New Roman" w:cs="Times New Roman" w:eastAsia="Times New Roman" w:hAnsi="Times New Roman"/>
          <w:sz w:val="19"/>
          <w:szCs w:val="19"/>
          <w:color w:val="auto"/>
        </w:rPr>
        <w:t>”). The terms of your RSU Award as specified in this Award Agreement for your RSU Award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Grant Notice constitute your “</w:t>
      </w:r>
      <w:r>
        <w:rPr>
          <w:rFonts w:ascii="Times New Roman" w:cs="Times New Roman" w:eastAsia="Times New Roman" w:hAnsi="Times New Roman"/>
          <w:sz w:val="19"/>
          <w:szCs w:val="19"/>
          <w:b w:val="1"/>
          <w:bCs w:val="1"/>
          <w:i w:val="1"/>
          <w:iCs w:val="1"/>
          <w:color w:val="auto"/>
        </w:rPr>
        <w:t>RSU Award Agreement</w:t>
      </w:r>
      <w:r>
        <w:rPr>
          <w:rFonts w:ascii="Times New Roman" w:cs="Times New Roman" w:eastAsia="Times New Roman" w:hAnsi="Times New Roman"/>
          <w:sz w:val="19"/>
          <w:szCs w:val="19"/>
          <w:color w:val="auto"/>
        </w:rPr>
        <w:t>”. Defined terms not explicitly defined in this Agreement but defined in the Grant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the Plan shall have the same definitions as in the Grant Notice or Plan, as applicable.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general terms applicable to your RSU Award are as follows:</w:t>
      </w:r>
    </w:p>
    <w:p>
      <w:pPr>
        <w:spacing w:after="0" w:line="228" w:lineRule="exact"/>
        <w:rPr>
          <w:sz w:val="20"/>
          <w:szCs w:val="20"/>
          <w:color w:val="auto"/>
        </w:rPr>
      </w:pPr>
    </w:p>
    <w:p>
      <w:pPr>
        <w:jc w:val="both"/>
        <w:ind w:firstLine="642"/>
        <w:spacing w:after="0" w:line="229" w:lineRule="auto"/>
        <w:tabs>
          <w:tab w:leader="none" w:pos="1272"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GOVERNING PLAN DOCUMENT. </w:t>
      </w:r>
      <w:r>
        <w:rPr>
          <w:rFonts w:ascii="Times New Roman" w:cs="Times New Roman" w:eastAsia="Times New Roman" w:hAnsi="Times New Roman"/>
          <w:sz w:val="19"/>
          <w:szCs w:val="19"/>
          <w:color w:val="auto"/>
        </w:rPr>
        <w:t>Your RSU Award is subject to all the provisions of the Plan. Your RSU Award is further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9" w:lineRule="exact"/>
        <w:rPr>
          <w:rFonts w:ascii="Times New Roman" w:cs="Times New Roman" w:eastAsia="Times New Roman" w:hAnsi="Times New Roman"/>
          <w:sz w:val="19"/>
          <w:szCs w:val="19"/>
          <w:b w:val="1"/>
          <w:bCs w:val="1"/>
          <w:color w:val="auto"/>
        </w:rPr>
      </w:pPr>
    </w:p>
    <w:p>
      <w:pPr>
        <w:jc w:val="both"/>
        <w:ind w:firstLine="642"/>
        <w:spacing w:after="0" w:line="216" w:lineRule="auto"/>
        <w:tabs>
          <w:tab w:leader="none" w:pos="1272"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GRANT OF THE RSU AWARD. </w:t>
      </w:r>
      <w:r>
        <w:rPr>
          <w:rFonts w:ascii="Times New Roman" w:cs="Times New Roman" w:eastAsia="Times New Roman" w:hAnsi="Times New Roman"/>
          <w:sz w:val="19"/>
          <w:szCs w:val="19"/>
          <w:color w:val="auto"/>
        </w:rPr>
        <w:t>This RSU Award represents your right to be issued on a future date the number of shares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Company’s Common 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19"/>
          <w:szCs w:val="19"/>
          <w:b w:val="1"/>
          <w:bCs w:val="1"/>
          <w:i w:val="1"/>
          <w:iCs w:val="1"/>
          <w:color w:val="auto"/>
        </w:rPr>
        <w:t>Restricted Stock Units</w:t>
      </w:r>
      <w:r>
        <w:rPr>
          <w:rFonts w:ascii="Times New Roman" w:cs="Times New Roman" w:eastAsia="Times New Roman" w:hAnsi="Times New Roman"/>
          <w:sz w:val="19"/>
          <w:szCs w:val="19"/>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1" w:lineRule="exact"/>
        <w:rPr>
          <w:rFonts w:ascii="Times New Roman" w:cs="Times New Roman" w:eastAsia="Times New Roman" w:hAnsi="Times New Roman"/>
          <w:sz w:val="19"/>
          <w:szCs w:val="19"/>
          <w:b w:val="1"/>
          <w:bCs w:val="1"/>
          <w:color w:val="auto"/>
        </w:rPr>
      </w:pPr>
    </w:p>
    <w:p>
      <w:pPr>
        <w:jc w:val="both"/>
        <w:ind w:firstLine="642"/>
        <w:spacing w:after="0" w:line="227" w:lineRule="auto"/>
        <w:tabs>
          <w:tab w:leader="none" w:pos="1272"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DIVIDENDS. </w:t>
      </w:r>
      <w:r>
        <w:rPr>
          <w:rFonts w:ascii="Times New Roman" w:cs="Times New Roman" w:eastAsia="Times New Roman" w:hAnsi="Times New Roman"/>
          <w:sz w:val="19"/>
          <w:szCs w:val="19"/>
          <w:color w:val="auto"/>
        </w:rPr>
        <w:t>You shall receive no benefit or adjustment to your RSU Award with respect to any cash dividend, stock dividend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167" w:lineRule="exact"/>
        <w:rPr>
          <w:rFonts w:ascii="Times New Roman" w:cs="Times New Roman" w:eastAsia="Times New Roman" w:hAnsi="Times New Roman"/>
          <w:sz w:val="19"/>
          <w:szCs w:val="19"/>
          <w:b w:val="1"/>
          <w:bCs w:val="1"/>
          <w:color w:val="auto"/>
        </w:rPr>
      </w:pPr>
    </w:p>
    <w:p>
      <w:pPr>
        <w:ind w:left="1280" w:hanging="638"/>
        <w:spacing w:after="0"/>
        <w:tabs>
          <w:tab w:leader="none" w:pos="128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WITHHOLDING OBLIGATIONS.</w:t>
      </w:r>
    </w:p>
    <w:p>
      <w:pPr>
        <w:spacing w:after="0" w:line="196" w:lineRule="exact"/>
        <w:rPr>
          <w:rFonts w:ascii="Times New Roman" w:cs="Times New Roman" w:eastAsia="Times New Roman" w:hAnsi="Times New Roman"/>
          <w:sz w:val="19"/>
          <w:szCs w:val="19"/>
          <w:b w:val="1"/>
          <w:bCs w:val="1"/>
          <w:color w:val="auto"/>
        </w:rPr>
      </w:pPr>
    </w:p>
    <w:p>
      <w:pPr>
        <w:jc w:val="both"/>
        <w:ind w:firstLine="1278"/>
        <w:spacing w:after="0" w:line="227" w:lineRule="auto"/>
        <w:tabs>
          <w:tab w:leader="none" w:pos="1896" w:val="left"/>
        </w:tabs>
        <w:numPr>
          <w:ilvl w:val="1"/>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Regardless of any action taken by the Company or, if different, the Affiliate to which you provide Continuous Service (the “</w:t>
      </w:r>
      <w:r>
        <w:rPr>
          <w:rFonts w:ascii="Times New Roman" w:cs="Times New Roman" w:eastAsia="Times New Roman" w:hAnsi="Times New Roman"/>
          <w:sz w:val="19"/>
          <w:szCs w:val="19"/>
          <w:b w:val="1"/>
          <w:bCs w:val="1"/>
          <w:i w:val="1"/>
          <w:iCs w:val="1"/>
          <w:color w:val="auto"/>
        </w:rPr>
        <w:t>Service Recipient</w:t>
      </w:r>
      <w:r>
        <w:rPr>
          <w:rFonts w:ascii="Times New Roman" w:cs="Times New Roman" w:eastAsia="Times New Roman" w:hAnsi="Times New Roman"/>
          <w:sz w:val="19"/>
          <w:szCs w:val="19"/>
          <w:color w:val="auto"/>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 w:cs="Times New Roman" w:eastAsia="Times New Roman" w:hAnsi="Times New Roman"/>
          <w:sz w:val="19"/>
          <w:szCs w:val="19"/>
          <w:b w:val="1"/>
          <w:bCs w:val="1"/>
          <w:i w:val="1"/>
          <w:iCs w:val="1"/>
          <w:color w:val="auto"/>
        </w:rPr>
        <w:t>Tax Liability</w:t>
      </w:r>
      <w:r>
        <w:rPr>
          <w:rFonts w:ascii="Times New Roman" w:cs="Times New Roman" w:eastAsia="Times New Roman" w:hAnsi="Times New Roman"/>
          <w:sz w:val="19"/>
          <w:szCs w:val="19"/>
          <w:color w:val="auto"/>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spacing w:after="0" w:line="178" w:lineRule="exact"/>
        <w:rPr>
          <w:rFonts w:ascii="Times New Roman" w:cs="Times New Roman" w:eastAsia="Times New Roman" w:hAnsi="Times New Roman"/>
          <w:sz w:val="19"/>
          <w:szCs w:val="19"/>
          <w:b w:val="1"/>
          <w:bCs w:val="1"/>
          <w:color w:val="auto"/>
        </w:rPr>
      </w:pPr>
    </w:p>
    <w:p>
      <w:pPr>
        <w:jc w:val="both"/>
        <w:ind w:firstLine="1278"/>
        <w:spacing w:after="0" w:line="228" w:lineRule="auto"/>
        <w:tabs>
          <w:tab w:leader="none" w:pos="1907" w:val="left"/>
        </w:tabs>
        <w:numPr>
          <w:ilvl w:val="1"/>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Prior to any relevant taxable or tax withholding event, as applicable, you agree to make adequate arrangements satisfactory to the Company and/or the Service Recipient to satisfy all Tax Liability. As further provided in Section 8 of the Plan, you hereby authorize the Company and any</w:t>
      </w:r>
    </w:p>
    <w:p>
      <w:pPr>
        <w:sectPr>
          <w:pgSz w:w="11900" w:h="16838" w:orient="portrait"/>
          <w:cols w:equalWidth="0" w:num="1">
            <w:col w:w="11240"/>
          </w:cols>
          <w:pgMar w:left="320" w:top="1385" w:right="339" w:bottom="1440" w:gutter="0" w:footer="0" w:header="0"/>
        </w:sectPr>
      </w:pPr>
    </w:p>
    <w:bookmarkStart w:id="53" w:name="page54"/>
    <w:bookmarkEnd w:id="53"/>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w:t>
      </w:r>
    </w:p>
    <w:p>
      <w:pPr>
        <w:spacing w:after="0" w:line="4"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color w:val="auto"/>
        </w:rPr>
        <w:t>you to enter into a “same day sale” commitment, if applicable, with a broker-dealer that is a member of the Financial Industry Regulatory Authority (a “</w:t>
      </w:r>
      <w:r>
        <w:rPr>
          <w:rFonts w:ascii="Times New Roman" w:cs="Times New Roman" w:eastAsia="Times New Roman" w:hAnsi="Times New Roman"/>
          <w:sz w:val="19"/>
          <w:szCs w:val="19"/>
          <w:b w:val="1"/>
          <w:bCs w:val="1"/>
          <w:i w:val="1"/>
          <w:iCs w:val="1"/>
          <w:color w:val="auto"/>
        </w:rPr>
        <w:t>FINRA Dealer</w:t>
      </w:r>
      <w:r>
        <w:rPr>
          <w:rFonts w:ascii="Times New Roman" w:cs="Times New Roman" w:eastAsia="Times New Roman" w:hAnsi="Times New Roman"/>
          <w:sz w:val="19"/>
          <w:szCs w:val="19"/>
          <w:color w:val="auto"/>
        </w:rPr>
        <w:t>”), pursuant to this authorization and without further consent, whereby you irrevocably elect to sell a portion of the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w:t>
      </w:r>
    </w:p>
    <w:p>
      <w:pPr>
        <w:spacing w:after="0" w:line="171" w:lineRule="exact"/>
        <w:rPr>
          <w:sz w:val="20"/>
          <w:szCs w:val="20"/>
          <w:color w:val="auto"/>
        </w:rPr>
      </w:pPr>
    </w:p>
    <w:p>
      <w:pPr>
        <w:jc w:val="both"/>
        <w:ind w:firstLine="1278"/>
        <w:spacing w:after="0" w:line="211" w:lineRule="auto"/>
        <w:tabs>
          <w:tab w:leader="none" w:pos="1898" w:val="left"/>
        </w:tabs>
        <w:numPr>
          <w:ilvl w:val="1"/>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spacing w:after="0" w:line="172" w:lineRule="exact"/>
        <w:rPr>
          <w:rFonts w:ascii="Times New Roman" w:cs="Times New Roman" w:eastAsia="Times New Roman" w:hAnsi="Times New Roman"/>
          <w:sz w:val="19"/>
          <w:szCs w:val="19"/>
          <w:b w:val="1"/>
          <w:bCs w:val="1"/>
          <w:color w:val="auto"/>
        </w:rPr>
      </w:pPr>
    </w:p>
    <w:p>
      <w:pPr>
        <w:jc w:val="both"/>
        <w:ind w:firstLine="1278"/>
        <w:spacing w:after="0" w:line="228" w:lineRule="auto"/>
        <w:tabs>
          <w:tab w:leader="none" w:pos="1907" w:val="left"/>
        </w:tabs>
        <w:numPr>
          <w:ilvl w:val="1"/>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w:t>
      </w:r>
    </w:p>
    <w:p>
      <w:pPr>
        <w:spacing w:after="0" w:line="194" w:lineRule="exact"/>
        <w:rPr>
          <w:rFonts w:ascii="Times New Roman" w:cs="Times New Roman" w:eastAsia="Times New Roman" w:hAnsi="Times New Roman"/>
          <w:sz w:val="19"/>
          <w:szCs w:val="19"/>
          <w:b w:val="1"/>
          <w:bCs w:val="1"/>
          <w:color w:val="auto"/>
        </w:rPr>
      </w:pPr>
    </w:p>
    <w:p>
      <w:pPr>
        <w:ind w:left="1280" w:hanging="638"/>
        <w:spacing w:after="0"/>
        <w:tabs>
          <w:tab w:leader="none" w:pos="128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DATE OF ISSUANCE.</w:t>
      </w:r>
    </w:p>
    <w:p>
      <w:pPr>
        <w:spacing w:after="0" w:line="209" w:lineRule="exact"/>
        <w:rPr>
          <w:rFonts w:ascii="Times New Roman" w:cs="Times New Roman" w:eastAsia="Times New Roman" w:hAnsi="Times New Roman"/>
          <w:sz w:val="19"/>
          <w:szCs w:val="19"/>
          <w:b w:val="1"/>
          <w:bCs w:val="1"/>
          <w:color w:val="auto"/>
        </w:rPr>
      </w:pPr>
    </w:p>
    <w:p>
      <w:pPr>
        <w:jc w:val="both"/>
        <w:ind w:firstLine="1278"/>
        <w:spacing w:after="0" w:line="222" w:lineRule="auto"/>
        <w:tabs>
          <w:tab w:leader="none" w:pos="1896" w:val="left"/>
        </w:tabs>
        <w:numPr>
          <w:ilvl w:val="1"/>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 w:cs="Times New Roman" w:eastAsia="Times New Roman" w:hAnsi="Times New Roman"/>
          <w:sz w:val="19"/>
          <w:szCs w:val="19"/>
          <w:b w:val="1"/>
          <w:bCs w:val="1"/>
          <w:i w:val="1"/>
          <w:iCs w:val="1"/>
          <w:color w:val="auto"/>
        </w:rPr>
        <w:t>Original Issuance Date</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b w:val="1"/>
          <w:bCs w:val="1"/>
          <w:color w:val="auto"/>
        </w:rPr>
      </w:pPr>
    </w:p>
    <w:p>
      <w:pPr>
        <w:ind w:right="20" w:firstLine="1278"/>
        <w:spacing w:after="0" w:line="241" w:lineRule="auto"/>
        <w:tabs>
          <w:tab w:leader="none" w:pos="1907" w:val="left"/>
        </w:tabs>
        <w:numPr>
          <w:ilvl w:val="1"/>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Original Issuance Date falls on a date that is not a business day, delivery shall instead occur on the next following business day. In addition, if:</w:t>
      </w:r>
    </w:p>
    <w:p>
      <w:pPr>
        <w:spacing w:after="0" w:line="170" w:lineRule="exact"/>
        <w:rPr>
          <w:rFonts w:ascii="Times New Roman" w:cs="Times New Roman" w:eastAsia="Times New Roman" w:hAnsi="Times New Roman"/>
          <w:sz w:val="19"/>
          <w:szCs w:val="19"/>
          <w:b w:val="1"/>
          <w:bCs w:val="1"/>
          <w:color w:val="auto"/>
        </w:rPr>
      </w:pPr>
    </w:p>
    <w:p>
      <w:pPr>
        <w:jc w:val="both"/>
        <w:ind w:firstLine="1914"/>
        <w:spacing w:after="0" w:line="218" w:lineRule="auto"/>
        <w:tabs>
          <w:tab w:leader="none" w:pos="2542" w:val="left"/>
        </w:tabs>
        <w:numPr>
          <w:ilvl w:val="2"/>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9"/>
          <w:szCs w:val="19"/>
          <w:b w:val="1"/>
          <w:bCs w:val="1"/>
          <w:i w:val="1"/>
          <w:iCs w:val="1"/>
          <w:color w:val="auto"/>
        </w:rPr>
        <w:t>10b5-1 Arrangement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w:t>
      </w:r>
    </w:p>
    <w:p>
      <w:pPr>
        <w:sectPr>
          <w:pgSz w:w="11900" w:h="16838" w:orient="portrait"/>
          <w:cols w:equalWidth="0" w:num="1">
            <w:col w:w="11240"/>
          </w:cols>
          <w:pgMar w:left="320" w:top="1362" w:right="339" w:bottom="1440" w:gutter="0" w:footer="0" w:header="0"/>
        </w:sectPr>
      </w:pPr>
    </w:p>
    <w:bookmarkStart w:id="54" w:name="page55"/>
    <w:bookmarkEnd w:id="54"/>
    <w:p>
      <w:pPr>
        <w:jc w:val="both"/>
        <w:ind w:left="-642" w:firstLine="1914"/>
        <w:spacing w:after="0" w:line="230" w:lineRule="auto"/>
        <w:tabs>
          <w:tab w:leader="none" w:pos="1901" w:val="left"/>
        </w:tabs>
        <w:numPr>
          <w:ilvl w:val="1"/>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 w:cs="Times New Roman" w:eastAsia="Times New Roman" w:hAnsi="Times New Roman"/>
          <w:sz w:val="19"/>
          <w:szCs w:val="19"/>
          <w:u w:val="single" w:color="auto"/>
          <w:color w:val="auto"/>
        </w:rPr>
        <w:t>then</w:t>
      </w:r>
      <w:r>
        <w:rPr>
          <w:rFonts w:ascii="Times New Roman" w:cs="Times New Roman" w:eastAsia="Times New Roman" w:hAnsi="Times New Roman"/>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9"/>
          <w:szCs w:val="19"/>
          <w:u w:val="single" w:color="auto"/>
          <w:color w:val="auto"/>
        </w:rPr>
        <w:t>if and only if</w:t>
      </w:r>
      <w:r>
        <w:rPr>
          <w:rFonts w:ascii="Times New Roman" w:cs="Times New Roman" w:eastAsia="Times New Roman" w:hAnsi="Times New Roman"/>
          <w:sz w:val="19"/>
          <w:szCs w:val="19"/>
          <w:color w:val="auto"/>
        </w:rPr>
        <w:t xml:space="preserve"> 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w:t>
      </w:r>
    </w:p>
    <w:p>
      <w:pPr>
        <w:spacing w:after="0" w:line="181" w:lineRule="exact"/>
        <w:rPr>
          <w:rFonts w:ascii="Times New Roman" w:cs="Times New Roman" w:eastAsia="Times New Roman" w:hAnsi="Times New Roman"/>
          <w:sz w:val="19"/>
          <w:szCs w:val="19"/>
          <w:b w:val="1"/>
          <w:bCs w:val="1"/>
          <w:color w:val="auto"/>
        </w:rPr>
      </w:pPr>
    </w:p>
    <w:p>
      <w:pPr>
        <w:ind w:left="-642" w:right="40" w:firstLine="642"/>
        <w:spacing w:after="0" w:line="260" w:lineRule="auto"/>
        <w:tabs>
          <w:tab w:leader="none" w:pos="63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TRANSFERABILITY. </w:t>
      </w:r>
      <w:r>
        <w:rPr>
          <w:rFonts w:ascii="Times New Roman" w:cs="Times New Roman" w:eastAsia="Times New Roman" w:hAnsi="Times New Roman"/>
          <w:sz w:val="19"/>
          <w:szCs w:val="19"/>
          <w:color w:val="auto"/>
        </w:rPr>
        <w:t>Except as otherwise provided in the Plan, your RSU Award is not transferable, except by will or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laws of descent and distribution.</w:t>
      </w:r>
    </w:p>
    <w:p>
      <w:pPr>
        <w:spacing w:after="0" w:line="149" w:lineRule="exact"/>
        <w:rPr>
          <w:rFonts w:ascii="Times New Roman" w:cs="Times New Roman" w:eastAsia="Times New Roman" w:hAnsi="Times New Roman"/>
          <w:sz w:val="19"/>
          <w:szCs w:val="19"/>
          <w:b w:val="1"/>
          <w:bCs w:val="1"/>
          <w:color w:val="auto"/>
        </w:rPr>
      </w:pPr>
    </w:p>
    <w:p>
      <w:pPr>
        <w:ind w:left="-642" w:right="620" w:firstLine="642"/>
        <w:spacing w:after="0" w:line="234" w:lineRule="auto"/>
        <w:tabs>
          <w:tab w:leader="none" w:pos="63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CORPORATE TRANSACTION. </w:t>
      </w:r>
      <w:r>
        <w:rPr>
          <w:rFonts w:ascii="Times New Roman" w:cs="Times New Roman" w:eastAsia="Times New Roman" w:hAnsi="Times New Roman"/>
          <w:sz w:val="19"/>
          <w:szCs w:val="19"/>
          <w:color w:val="auto"/>
        </w:rPr>
        <w:t>Your RSU Award is subject to the terms of any agreement governing a Corporate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69" w:lineRule="exact"/>
        <w:rPr>
          <w:rFonts w:ascii="Times New Roman" w:cs="Times New Roman" w:eastAsia="Times New Roman" w:hAnsi="Times New Roman"/>
          <w:sz w:val="19"/>
          <w:szCs w:val="19"/>
          <w:b w:val="1"/>
          <w:bCs w:val="1"/>
          <w:color w:val="auto"/>
        </w:rPr>
      </w:pPr>
    </w:p>
    <w:p>
      <w:pPr>
        <w:ind w:left="-642" w:right="280" w:firstLine="642"/>
        <w:spacing w:after="0" w:line="227" w:lineRule="auto"/>
        <w:tabs>
          <w:tab w:leader="none" w:pos="63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 LIABILITY FOR TAXES</w:t>
      </w:r>
      <w:r>
        <w:rPr>
          <w:rFonts w:ascii="Times New Roman" w:cs="Times New Roman" w:eastAsia="Times New Roman" w:hAnsi="Times New Roman"/>
          <w:sz w:val="19"/>
          <w:szCs w:val="19"/>
          <w:color w:val="auto"/>
        </w:rPr>
        <w:t>. As a condition to accepting the RSU Award, you hereby (a) agree to not make any claim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67" w:lineRule="exact"/>
        <w:rPr>
          <w:rFonts w:ascii="Times New Roman" w:cs="Times New Roman" w:eastAsia="Times New Roman" w:hAnsi="Times New Roman"/>
          <w:sz w:val="19"/>
          <w:szCs w:val="19"/>
          <w:b w:val="1"/>
          <w:bCs w:val="1"/>
          <w:color w:val="auto"/>
        </w:rPr>
      </w:pPr>
    </w:p>
    <w:p>
      <w:pPr>
        <w:ind w:left="-642" w:right="20" w:firstLine="642"/>
        <w:spacing w:after="0" w:line="227" w:lineRule="auto"/>
        <w:tabs>
          <w:tab w:leader="none" w:pos="63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part of this Agreement or the Plan is declared by any court or governmental authority to be unlawful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0" w:lineRule="exact"/>
        <w:rPr>
          <w:rFonts w:ascii="Times New Roman" w:cs="Times New Roman" w:eastAsia="Times New Roman" w:hAnsi="Times New Roman"/>
          <w:sz w:val="19"/>
          <w:szCs w:val="19"/>
          <w:b w:val="1"/>
          <w:bCs w:val="1"/>
          <w:color w:val="auto"/>
        </w:rPr>
      </w:pPr>
    </w:p>
    <w:p>
      <w:pPr>
        <w:ind w:left="-642" w:right="260" w:firstLine="642"/>
        <w:spacing w:after="0" w:line="234" w:lineRule="auto"/>
        <w:tabs>
          <w:tab w:leader="none" w:pos="621"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OTHER DOCUMENTS. </w:t>
      </w:r>
      <w:r>
        <w:rPr>
          <w:rFonts w:ascii="Times New Roman" w:cs="Times New Roman" w:eastAsia="Times New Roman" w:hAnsi="Times New Roman"/>
          <w:sz w:val="19"/>
          <w:szCs w:val="19"/>
          <w:color w:val="auto"/>
        </w:rPr>
        <w:t>You hereby acknowledge receipt of or the right to receive a document providing the information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by Rule 428(b)(1) promulgated under the Securities Act, which includes the Prospectus. In addition, you acknowledge receipt of the Company’s Trading Policy.</w:t>
      </w:r>
    </w:p>
    <w:p>
      <w:pPr>
        <w:spacing w:after="0" w:line="169" w:lineRule="exact"/>
        <w:rPr>
          <w:rFonts w:ascii="Times New Roman" w:cs="Times New Roman" w:eastAsia="Times New Roman" w:hAnsi="Times New Roman"/>
          <w:sz w:val="19"/>
          <w:szCs w:val="19"/>
          <w:b w:val="1"/>
          <w:bCs w:val="1"/>
          <w:color w:val="auto"/>
        </w:rPr>
      </w:pPr>
    </w:p>
    <w:p>
      <w:pPr>
        <w:ind w:left="-642" w:right="700" w:firstLine="642"/>
        <w:spacing w:after="0" w:line="246" w:lineRule="auto"/>
        <w:tabs>
          <w:tab w:leader="none" w:pos="61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QUESTIONS. </w:t>
      </w:r>
      <w:r>
        <w:rPr>
          <w:rFonts w:ascii="Times New Roman" w:cs="Times New Roman" w:eastAsia="Times New Roman" w:hAnsi="Times New Roman"/>
          <w:sz w:val="19"/>
          <w:szCs w:val="19"/>
          <w:color w:val="auto"/>
        </w:rPr>
        <w:t>If you have questions regarding these or any other terms and conditions applicable to your RSU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a summary of the applicable federal income tax consequences please see the Prospectus.</w:t>
      </w:r>
    </w:p>
    <w:p>
      <w:pPr>
        <w:spacing w:after="0" w:line="174" w:lineRule="exact"/>
        <w:rPr>
          <w:rFonts w:ascii="Times New Roman" w:cs="Times New Roman" w:eastAsia="Times New Roman" w:hAnsi="Times New Roman"/>
          <w:sz w:val="19"/>
          <w:szCs w:val="19"/>
          <w:b w:val="1"/>
          <w:bCs w:val="1"/>
          <w:color w:val="auto"/>
        </w:rPr>
      </w:pPr>
    </w:p>
    <w:p>
      <w:pPr>
        <w:ind w:left="-642" w:right="100" w:firstLine="642"/>
        <w:spacing w:after="0" w:line="219" w:lineRule="auto"/>
        <w:tabs>
          <w:tab w:leader="none" w:pos="621"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Clawback/Recovery</w:t>
      </w:r>
      <w:r>
        <w:rPr>
          <w:rFonts w:ascii="Times New Roman" w:cs="Times New Roman" w:eastAsia="Times New Roman" w:hAnsi="Times New Roman"/>
          <w:sz w:val="19"/>
          <w:szCs w:val="19"/>
          <w:color w:val="auto"/>
        </w:rPr>
        <w:t>. The RSU Award will be subject to recoupment in accordance with any clawback policy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w:t>
      </w:r>
    </w:p>
    <w:p>
      <w:pPr>
        <w:sectPr>
          <w:pgSz w:w="11900" w:h="16838" w:orient="portrait"/>
          <w:cols w:equalWidth="0" w:num="1">
            <w:col w:w="10598"/>
          </w:cols>
          <w:pgMar w:left="962" w:top="1362" w:right="339" w:bottom="1440" w:gutter="0" w:footer="0" w:header="0"/>
        </w:sectPr>
      </w:pPr>
    </w:p>
    <w:bookmarkStart w:id="55" w:name="page56"/>
    <w:bookmarkEnd w:id="55"/>
    <w:p>
      <w:pPr>
        <w:jc w:val="center"/>
        <w:ind w:left="6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49"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19"/>
          <w:szCs w:val="19"/>
          <w:color w:val="auto"/>
        </w:rPr>
        <w:t>The number of Restricted Stock Units that vest shall be determined in accordance with the following terms and conditions. Capitalized terms not otherwise defined herein have the meanings set forth in the Grant Notice, the Agreement or the Plan, as applicable.</w:t>
      </w:r>
    </w:p>
    <w:p>
      <w:pPr>
        <w:spacing w:after="0" w:line="166" w:lineRule="exact"/>
        <w:rPr>
          <w:sz w:val="20"/>
          <w:szCs w:val="20"/>
          <w:color w:val="auto"/>
        </w:rPr>
      </w:pPr>
    </w:p>
    <w:p>
      <w:pPr>
        <w:jc w:val="both"/>
        <w:ind w:firstLine="642"/>
        <w:spacing w:after="0" w:line="251" w:lineRule="auto"/>
        <w:tabs>
          <w:tab w:leader="none" w:pos="1272"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Performance Period.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Performance Period</w:t>
      </w:r>
      <w:r>
        <w:rPr>
          <w:rFonts w:ascii="Times New Roman" w:cs="Times New Roman" w:eastAsia="Times New Roman" w:hAnsi="Times New Roman"/>
          <w:sz w:val="19"/>
          <w:szCs w:val="19"/>
          <w:color w:val="auto"/>
        </w:rPr>
        <w:t>” shall begin on January 1, 2025 and shall end on December 31, 2025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Scheduled Performance Period End Date</w:t>
      </w:r>
      <w:r>
        <w:rPr>
          <w:rFonts w:ascii="Times New Roman" w:cs="Times New Roman" w:eastAsia="Times New Roman" w:hAnsi="Times New Roman"/>
          <w:sz w:val="19"/>
          <w:szCs w:val="19"/>
          <w:color w:val="auto"/>
        </w:rPr>
        <w:t>”). Notwithstanding the foregoing, in the event of a Change in Control prior to the Scheduled Performance Period End Date, the Performance Period shall be shortened and deemed to end immediately prior to the effective time of the Change in Control and the Award shall be treated as set forth in Section 4(a) of this Exhibit A.</w:t>
      </w:r>
    </w:p>
    <w:p>
      <w:pPr>
        <w:spacing w:after="0" w:line="199" w:lineRule="exact"/>
        <w:rPr>
          <w:rFonts w:ascii="Times New Roman" w:cs="Times New Roman" w:eastAsia="Times New Roman" w:hAnsi="Times New Roman"/>
          <w:sz w:val="19"/>
          <w:szCs w:val="19"/>
          <w:b w:val="1"/>
          <w:bCs w:val="1"/>
          <w:color w:val="auto"/>
        </w:rPr>
      </w:pPr>
    </w:p>
    <w:p>
      <w:pPr>
        <w:ind w:firstLine="642"/>
        <w:spacing w:after="0" w:line="275" w:lineRule="auto"/>
        <w:tabs>
          <w:tab w:leader="none" w:pos="1272"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Earning of Restricted Stock Units. </w:t>
      </w:r>
      <w:r>
        <w:rPr>
          <w:rFonts w:ascii="Times New Roman" w:cs="Times New Roman" w:eastAsia="Times New Roman" w:hAnsi="Times New Roman"/>
          <w:sz w:val="19"/>
          <w:szCs w:val="19"/>
          <w:color w:val="auto"/>
        </w:rPr>
        <w:t>Restricted Stock Units will be earned and eligible to vest (the “Earned Units”), contingent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achievement of the performance criteria during the Performance Period as described in Section 2(a) below.</w:t>
      </w:r>
    </w:p>
    <w:p>
      <w:pPr>
        <w:spacing w:after="0" w:line="175" w:lineRule="exact"/>
        <w:rPr>
          <w:rFonts w:ascii="Times New Roman" w:cs="Times New Roman" w:eastAsia="Times New Roman" w:hAnsi="Times New Roman"/>
          <w:sz w:val="19"/>
          <w:szCs w:val="19"/>
          <w:b w:val="1"/>
          <w:bCs w:val="1"/>
          <w:color w:val="auto"/>
        </w:rPr>
      </w:pPr>
    </w:p>
    <w:p>
      <w:pPr>
        <w:jc w:val="both"/>
        <w:ind w:firstLine="1278"/>
        <w:spacing w:after="0" w:line="254" w:lineRule="auto"/>
        <w:tabs>
          <w:tab w:leader="none" w:pos="1896" w:val="left"/>
        </w:tabs>
        <w:numPr>
          <w:ilvl w:val="1"/>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Performance Criteria. </w:t>
      </w:r>
      <w:r>
        <w:rPr>
          <w:rFonts w:ascii="Times New Roman" w:cs="Times New Roman" w:eastAsia="Times New Roman" w:hAnsi="Times New Roman"/>
          <w:sz w:val="19"/>
          <w:szCs w:val="19"/>
          <w:color w:val="auto"/>
        </w:rPr>
        <w:t>For the purposes of this agreement, performance is subject to the achievement of both Adjusted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EBITDA and New Writings goals during the Performance period as outlined in the matrix set forth in </w:t>
      </w:r>
      <w:r>
        <w:rPr>
          <w:rFonts w:ascii="Times New Roman" w:cs="Times New Roman" w:eastAsia="Times New Roman" w:hAnsi="Times New Roman"/>
          <w:sz w:val="19"/>
          <w:szCs w:val="19"/>
          <w:b w:val="1"/>
          <w:bCs w:val="1"/>
          <w:color w:val="auto"/>
        </w:rPr>
        <w:t>Appendix A</w:t>
      </w:r>
      <w:r>
        <w:rPr>
          <w:rFonts w:ascii="Times New Roman" w:cs="Times New Roman" w:eastAsia="Times New Roman" w:hAnsi="Times New Roman"/>
          <w:sz w:val="19"/>
          <w:szCs w:val="19"/>
          <w:color w:val="auto"/>
        </w:rPr>
        <w:t>, as certified by the Compensation Committee. The Compensation Committee retains discretion to adjust the matrix as set forth in the Plan.</w:t>
      </w:r>
    </w:p>
    <w:p>
      <w:pPr>
        <w:spacing w:after="0" w:line="198"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9"/>
          <w:szCs w:val="19"/>
          <w:color w:val="auto"/>
        </w:rPr>
        <w:t>If performance falls between any of the amounts set forth in the matrix, the number of Earned Units shall be determined by interpolation. Any portion of the target award not earned during the term of the Award based upon the Company’s actual performance as measured against the applicable performance criteria shall expire and be forfeited.</w:t>
      </w:r>
    </w:p>
    <w:p>
      <w:pPr>
        <w:spacing w:after="0" w:line="2" w:lineRule="exact"/>
        <w:rPr>
          <w:sz w:val="20"/>
          <w:szCs w:val="20"/>
          <w:color w:val="auto"/>
        </w:rPr>
      </w:pPr>
    </w:p>
    <w:p>
      <w:pPr>
        <w:jc w:val="both"/>
        <w:ind w:firstLine="1914"/>
        <w:spacing w:after="0" w:line="247" w:lineRule="auto"/>
        <w:tabs>
          <w:tab w:leader="none" w:pos="2542" w:val="left"/>
        </w:tabs>
        <w:numPr>
          <w:ilvl w:val="1"/>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the purposes of this Agreement, New Writings is defined as the count of new policies written based on the initial (term 1) policy effective date in the calendar period. Rewrites from previously canceled policies are considered. This metric is the best measure of company growth, unaffected by offsets. New Writings are inclusive of Direct and Partnership acquisition channels.</w:t>
      </w:r>
    </w:p>
    <w:p>
      <w:pPr>
        <w:spacing w:after="0" w:line="191" w:lineRule="exact"/>
        <w:rPr>
          <w:rFonts w:ascii="Times New Roman" w:cs="Times New Roman" w:eastAsia="Times New Roman" w:hAnsi="Times New Roman"/>
          <w:sz w:val="19"/>
          <w:szCs w:val="19"/>
          <w:b w:val="1"/>
          <w:bCs w:val="1"/>
          <w:color w:val="auto"/>
        </w:rPr>
      </w:pPr>
    </w:p>
    <w:p>
      <w:pPr>
        <w:jc w:val="both"/>
        <w:ind w:firstLine="1914"/>
        <w:spacing w:after="0" w:line="244" w:lineRule="auto"/>
        <w:tabs>
          <w:tab w:leader="none" w:pos="2543" w:val="left"/>
        </w:tabs>
        <w:numPr>
          <w:ilvl w:val="1"/>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the purposes of this Agreement, Adjusted EBITDA, a non-GAAP financial measure defined as net loss excluding interest expense, income tax expense, depreciation and amortization, share-based compensation, warrant compensation expense, restructuring charges, and write-off of prepaid marketing expense and reclassifications of certain sales and marketing expenses, and related legal and other fees, net of anticipated insurance recovery. For fiscal 2025, also excluding incremental STI payouts above target and expense related to additional STI eligibility for employees. The Compensation Committee has the discretion to modify adjusted EBITDA for purposes of Root's performance stock targets for unusual items as they arise and determine the appropriateness of adjustments to adjusted EBITDA.</w:t>
      </w:r>
    </w:p>
    <w:p>
      <w:pPr>
        <w:spacing w:after="0" w:line="1" w:lineRule="exact"/>
        <w:rPr>
          <w:rFonts w:ascii="Times New Roman" w:cs="Times New Roman" w:eastAsia="Times New Roman" w:hAnsi="Times New Roman"/>
          <w:sz w:val="19"/>
          <w:szCs w:val="19"/>
          <w:b w:val="1"/>
          <w:bCs w:val="1"/>
          <w:color w:val="auto"/>
        </w:rPr>
      </w:pPr>
    </w:p>
    <w:p>
      <w:pPr>
        <w:jc w:val="both"/>
        <w:ind w:firstLine="642"/>
        <w:spacing w:after="0" w:line="242" w:lineRule="auto"/>
        <w:tabs>
          <w:tab w:leader="none" w:pos="1272"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Holding Period. </w:t>
      </w:r>
      <w:r>
        <w:rPr>
          <w:rFonts w:ascii="Times New Roman" w:cs="Times New Roman" w:eastAsia="Times New Roman" w:hAnsi="Times New Roman"/>
          <w:sz w:val="19"/>
          <w:szCs w:val="19"/>
          <w:color w:val="auto"/>
        </w:rPr>
        <w:t>Any Earned Units shall be subject to a three-year restricted “Holding Period” which shall begin on January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2026 and shall end on January 1, 2029, with 25% of the Earned Units vesting on the date the Compensation Committee certifies performance as set forth in Section 2(a) and the remainder annually thereafter (25% per year) on January 1 so long as the Participant has remained in Continuous Service through such date (subject to Section 4).</w:t>
      </w:r>
    </w:p>
    <w:p>
      <w:pPr>
        <w:sectPr>
          <w:pgSz w:w="11900" w:h="16838" w:orient="portrait"/>
          <w:cols w:equalWidth="0" w:num="1">
            <w:col w:w="11240"/>
          </w:cols>
          <w:pgMar w:left="320" w:top="1385" w:right="339" w:bottom="1440" w:gutter="0" w:footer="0" w:header="0"/>
        </w:sectPr>
      </w:pPr>
    </w:p>
    <w:bookmarkStart w:id="56" w:name="page57"/>
    <w:bookmarkEnd w:id="56"/>
    <w:p>
      <w:pPr>
        <w:ind w:left="638" w:hanging="638"/>
        <w:spacing w:after="0"/>
        <w:tabs>
          <w:tab w:leader="none" w:pos="638"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Termination of Continuous Service</w:t>
      </w:r>
    </w:p>
    <w:p>
      <w:pPr>
        <w:spacing w:after="0" w:line="232" w:lineRule="exact"/>
        <w:rPr>
          <w:rFonts w:ascii="Times New Roman" w:cs="Times New Roman" w:eastAsia="Times New Roman" w:hAnsi="Times New Roman"/>
          <w:sz w:val="19"/>
          <w:szCs w:val="19"/>
          <w:b w:val="1"/>
          <w:bCs w:val="1"/>
          <w:color w:val="auto"/>
        </w:rPr>
      </w:pPr>
    </w:p>
    <w:p>
      <w:pPr>
        <w:jc w:val="both"/>
        <w:ind w:left="-642" w:firstLine="1278"/>
        <w:spacing w:after="0" w:line="250" w:lineRule="auto"/>
        <w:tabs>
          <w:tab w:leader="none" w:pos="1254" w:val="left"/>
        </w:tabs>
        <w:numPr>
          <w:ilvl w:val="1"/>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Impact of Change in Control. </w:t>
      </w:r>
      <w:r>
        <w:rPr>
          <w:rFonts w:ascii="Times New Roman" w:cs="Times New Roman" w:eastAsia="Times New Roman" w:hAnsi="Times New Roman"/>
          <w:sz w:val="19"/>
          <w:szCs w:val="19"/>
          <w:color w:val="auto"/>
        </w:rPr>
        <w:t>If, during the Performance Period, a Change in Control occurs, then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will be shortened such that the Performance Period will end as of immediately prior to the Change in Control and will vest at the greater of target or, to the extent that any of the Performance Criteria are achieved on a prorated basis based on the number of days in the Performance Period that have elapsed prior to the Change in Control, as certified by the Compensation Committee within five business days prior to the Change in Control, such higher amount and the Earned Units will become immediately vested. If a Change in Control occurs during the Holding Period, any Earned Units will become immediately vested.</w:t>
      </w:r>
    </w:p>
    <w:p>
      <w:pPr>
        <w:spacing w:after="0" w:line="184" w:lineRule="exact"/>
        <w:rPr>
          <w:rFonts w:ascii="Times New Roman" w:cs="Times New Roman" w:eastAsia="Times New Roman" w:hAnsi="Times New Roman"/>
          <w:sz w:val="19"/>
          <w:szCs w:val="19"/>
          <w:b w:val="1"/>
          <w:bCs w:val="1"/>
          <w:color w:val="auto"/>
        </w:rPr>
      </w:pPr>
    </w:p>
    <w:p>
      <w:pPr>
        <w:jc w:val="both"/>
        <w:ind w:left="-642" w:firstLine="1278"/>
        <w:spacing w:after="0" w:line="251" w:lineRule="auto"/>
        <w:tabs>
          <w:tab w:leader="none" w:pos="1265" w:val="left"/>
        </w:tabs>
        <w:numPr>
          <w:ilvl w:val="1"/>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other than Change in Control. </w:t>
      </w:r>
      <w:r>
        <w:rPr>
          <w:rFonts w:ascii="Times New Roman" w:cs="Times New Roman" w:eastAsia="Times New Roman" w:hAnsi="Times New Roman"/>
          <w:sz w:val="19"/>
          <w:szCs w:val="19"/>
          <w:color w:val="auto"/>
        </w:rPr>
        <w:t>If, during the Performance Period or thereafter during the Holding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the Participant terminates his or her Continuous Service for reasons other than a Change in Control, the Award shall be canceled and forfeited as of the date of such termination, except as may be set forth in a written employment or severance arrangement between the Participant and the Company.</w:t>
      </w:r>
    </w:p>
    <w:p>
      <w:pPr>
        <w:sectPr>
          <w:pgSz w:w="11900" w:h="16838" w:orient="portrait"/>
          <w:cols w:equalWidth="0" w:num="1">
            <w:col w:w="10598"/>
          </w:cols>
          <w:pgMar w:left="962" w:top="138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ROOT,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2020 EQUITY INCENTIVE PLAN</w:t>
      </w:r>
    </w:p>
    <w:p>
      <w:pPr>
        <w:spacing w:after="0" w:line="20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b w:val="1"/>
          <w:bCs w:val="1"/>
          <w:color w:val="auto"/>
        </w:rPr>
        <w:t>Amended and Restated AWARD AGREEMENT (Performance-Based RSU AWARD)</w:t>
      </w:r>
    </w:p>
    <w:p>
      <w:pPr>
        <w:spacing w:after="0" w:line="222" w:lineRule="exact"/>
        <w:rPr>
          <w:sz w:val="20"/>
          <w:szCs w:val="20"/>
          <w:color w:val="auto"/>
        </w:rPr>
      </w:pPr>
    </w:p>
    <w:p>
      <w:pPr>
        <w:jc w:val="both"/>
        <w:ind w:firstLine="636"/>
        <w:spacing w:after="0" w:line="205" w:lineRule="auto"/>
        <w:rPr>
          <w:sz w:val="20"/>
          <w:szCs w:val="20"/>
          <w:color w:val="auto"/>
        </w:rPr>
      </w:pPr>
      <w:r>
        <w:rPr>
          <w:rFonts w:ascii="Times New Roman" w:cs="Times New Roman" w:eastAsia="Times New Roman" w:hAnsi="Times New Roman"/>
          <w:sz w:val="21"/>
          <w:szCs w:val="21"/>
          <w:color w:val="auto"/>
        </w:rPr>
        <w:t>As reflected by your Restricted Stock Unit Grant Notice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Root,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 RSU Award under its 2020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for the number of performance-based restricted stock units as indicated in your Grant Notice (the “</w:t>
      </w:r>
      <w:r>
        <w:rPr>
          <w:rFonts w:ascii="Times New Roman" w:cs="Times New Roman" w:eastAsia="Times New Roman" w:hAnsi="Times New Roman"/>
          <w:sz w:val="21"/>
          <w:szCs w:val="21"/>
          <w:b w:val="1"/>
          <w:bCs w:val="1"/>
          <w:i w:val="1"/>
          <w:iCs w:val="1"/>
          <w:color w:val="auto"/>
        </w:rPr>
        <w:t>RSU Award</w:t>
      </w:r>
      <w:r>
        <w:rPr>
          <w:rFonts w:ascii="Times New Roman" w:cs="Times New Roman" w:eastAsia="Times New Roman" w:hAnsi="Times New Roman"/>
          <w:sz w:val="21"/>
          <w:szCs w:val="21"/>
          <w:color w:val="auto"/>
        </w:rPr>
        <w:t>”). The terms of your RSU Award as specified in this Award Agreement for your RSU Award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and the Grant Notice constitute your “</w:t>
      </w:r>
      <w:r>
        <w:rPr>
          <w:rFonts w:ascii="Times New Roman" w:cs="Times New Roman" w:eastAsia="Times New Roman" w:hAnsi="Times New Roman"/>
          <w:sz w:val="21"/>
          <w:szCs w:val="21"/>
          <w:b w:val="1"/>
          <w:bCs w:val="1"/>
          <w:i w:val="1"/>
          <w:iCs w:val="1"/>
          <w:color w:val="auto"/>
        </w:rPr>
        <w:t>RSU Award Agreement</w:t>
      </w:r>
      <w:r>
        <w:rPr>
          <w:rFonts w:ascii="Times New Roman" w:cs="Times New Roman" w:eastAsia="Times New Roman" w:hAnsi="Times New Roman"/>
          <w:sz w:val="21"/>
          <w:szCs w:val="21"/>
          <w:color w:val="auto"/>
        </w:rPr>
        <w:t>”. Defined terms not explicitly defined in this Agreement but defined in the Grant Notice or the Plan shall have the same definitions as in the Grant Notice or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applicable.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general terms applicable to your RSU Award are as follows:</w:t>
      </w:r>
    </w:p>
    <w:p>
      <w:pPr>
        <w:spacing w:after="0" w:line="218" w:lineRule="exact"/>
        <w:rPr>
          <w:sz w:val="20"/>
          <w:szCs w:val="20"/>
          <w:color w:val="auto"/>
        </w:rPr>
      </w:pPr>
    </w:p>
    <w:p>
      <w:pPr>
        <w:jc w:val="both"/>
        <w:ind w:firstLine="642"/>
        <w:spacing w:after="0" w:line="221" w:lineRule="auto"/>
        <w:tabs>
          <w:tab w:leader="none" w:pos="127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PLAN DOCUMENT. </w:t>
      </w:r>
      <w:r>
        <w:rPr>
          <w:rFonts w:ascii="Times New Roman" w:cs="Times New Roman" w:eastAsia="Times New Roman" w:hAnsi="Times New Roman"/>
          <w:sz w:val="21"/>
          <w:szCs w:val="21"/>
          <w:color w:val="auto"/>
        </w:rPr>
        <w:t>Your RSU Award is subject to all the provisions of the Plan. Your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57" w:lineRule="exact"/>
        <w:rPr>
          <w:rFonts w:ascii="Times New Roman" w:cs="Times New Roman" w:eastAsia="Times New Roman" w:hAnsi="Times New Roman"/>
          <w:sz w:val="21"/>
          <w:szCs w:val="21"/>
          <w:b w:val="1"/>
          <w:bCs w:val="1"/>
          <w:color w:val="auto"/>
        </w:rPr>
      </w:pPr>
    </w:p>
    <w:p>
      <w:pPr>
        <w:jc w:val="both"/>
        <w:ind w:firstLine="642"/>
        <w:spacing w:after="0" w:line="215" w:lineRule="auto"/>
        <w:tabs>
          <w:tab w:leader="none" w:pos="127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GRANT OF THE RSU AWARD. </w:t>
      </w:r>
      <w:r>
        <w:rPr>
          <w:rFonts w:ascii="Times New Roman" w:cs="Times New Roman" w:eastAsia="Times New Roman" w:hAnsi="Times New Roman"/>
          <w:sz w:val="21"/>
          <w:szCs w:val="21"/>
          <w:color w:val="auto"/>
        </w:rPr>
        <w:t>This RSU Award represents your right to be issued on a future date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the Company’s Common 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21"/>
          <w:szCs w:val="21"/>
          <w:b w:val="1"/>
          <w:bCs w:val="1"/>
          <w:i w:val="1"/>
          <w:iCs w:val="1"/>
          <w:color w:val="auto"/>
        </w:rPr>
        <w:t>Restricted Stock Units</w:t>
      </w:r>
      <w:r>
        <w:rPr>
          <w:rFonts w:ascii="Times New Roman" w:cs="Times New Roman" w:eastAsia="Times New Roman" w:hAnsi="Times New Roman"/>
          <w:sz w:val="21"/>
          <w:szCs w:val="21"/>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59" w:lineRule="exact"/>
        <w:rPr>
          <w:rFonts w:ascii="Times New Roman" w:cs="Times New Roman" w:eastAsia="Times New Roman" w:hAnsi="Times New Roman"/>
          <w:sz w:val="21"/>
          <w:szCs w:val="21"/>
          <w:b w:val="1"/>
          <w:bCs w:val="1"/>
          <w:color w:val="auto"/>
        </w:rPr>
      </w:pPr>
    </w:p>
    <w:p>
      <w:pPr>
        <w:jc w:val="both"/>
        <w:ind w:firstLine="642"/>
        <w:spacing w:after="0" w:line="221" w:lineRule="auto"/>
        <w:tabs>
          <w:tab w:leader="none" w:pos="127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DIVIDENDS. </w:t>
      </w:r>
      <w:r>
        <w:rPr>
          <w:rFonts w:ascii="Times New Roman" w:cs="Times New Roman" w:eastAsia="Times New Roman" w:hAnsi="Times New Roman"/>
          <w:sz w:val="21"/>
          <w:szCs w:val="21"/>
          <w:color w:val="auto"/>
        </w:rPr>
        <w:t>You shall receive no benefit or adjustment to your RSU Award with respect to any cash dividend,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170" w:lineRule="exact"/>
        <w:rPr>
          <w:rFonts w:ascii="Times New Roman" w:cs="Times New Roman" w:eastAsia="Times New Roman" w:hAnsi="Times New Roman"/>
          <w:sz w:val="21"/>
          <w:szCs w:val="21"/>
          <w:b w:val="1"/>
          <w:bCs w:val="1"/>
          <w:color w:val="auto"/>
        </w:rPr>
      </w:pPr>
    </w:p>
    <w:p>
      <w:pPr>
        <w:ind w:left="1280" w:hanging="638"/>
        <w:spacing w:after="0"/>
        <w:tabs>
          <w:tab w:leader="none" w:pos="1280"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 OBLIGATIONS.</w:t>
      </w:r>
    </w:p>
    <w:p>
      <w:pPr>
        <w:spacing w:after="0" w:line="199" w:lineRule="exact"/>
        <w:rPr>
          <w:rFonts w:ascii="Times New Roman" w:cs="Times New Roman" w:eastAsia="Times New Roman" w:hAnsi="Times New Roman"/>
          <w:sz w:val="21"/>
          <w:szCs w:val="21"/>
          <w:b w:val="1"/>
          <w:bCs w:val="1"/>
          <w:color w:val="auto"/>
        </w:rPr>
      </w:pPr>
    </w:p>
    <w:p>
      <w:pPr>
        <w:jc w:val="both"/>
        <w:ind w:firstLine="1278"/>
        <w:spacing w:after="0" w:line="209" w:lineRule="auto"/>
        <w:tabs>
          <w:tab w:leader="none" w:pos="1903" w:val="left"/>
        </w:tabs>
        <w:numPr>
          <w:ilvl w:val="1"/>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Regardless of any action taken by the Company or, if different, the Affiliate to which you provide Continuous Service (the “</w:t>
      </w:r>
      <w:r>
        <w:rPr>
          <w:rFonts w:ascii="Times New Roman" w:cs="Times New Roman" w:eastAsia="Times New Roman" w:hAnsi="Times New Roman"/>
          <w:sz w:val="21"/>
          <w:szCs w:val="21"/>
          <w:b w:val="1"/>
          <w:bCs w:val="1"/>
          <w:i w:val="1"/>
          <w:iCs w:val="1"/>
          <w:color w:val="auto"/>
        </w:rPr>
        <w:t>Service Recipient</w:t>
      </w:r>
      <w:r>
        <w:rPr>
          <w:rFonts w:ascii="Times New Roman" w:cs="Times New Roman" w:eastAsia="Times New Roman" w:hAnsi="Times New Roman"/>
          <w:sz w:val="21"/>
          <w:szCs w:val="21"/>
          <w:color w:val="auto"/>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 w:cs="Times New Roman" w:eastAsia="Times New Roman" w:hAnsi="Times New Roman"/>
          <w:sz w:val="21"/>
          <w:szCs w:val="21"/>
          <w:b w:val="1"/>
          <w:bCs w:val="1"/>
          <w:i w:val="1"/>
          <w:iCs w:val="1"/>
          <w:color w:val="auto"/>
        </w:rPr>
        <w:t>Tax Liability</w:t>
      </w:r>
      <w:r>
        <w:rPr>
          <w:rFonts w:ascii="Times New Roman" w:cs="Times New Roman" w:eastAsia="Times New Roman" w:hAnsi="Times New Roman"/>
          <w:sz w:val="21"/>
          <w:szCs w:val="21"/>
          <w:color w:val="auto"/>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w:t>
      </w:r>
    </w:p>
    <w:p>
      <w:pPr>
        <w:sectPr>
          <w:pgSz w:w="11900" w:h="16838" w:orient="portrait"/>
          <w:cols w:equalWidth="0" w:num="1">
            <w:col w:w="11240"/>
          </w:cols>
          <w:pgMar w:left="320" w:top="1380" w:right="339" w:bottom="1440" w:gutter="0" w:footer="0" w:header="0"/>
        </w:sectPr>
      </w:pPr>
    </w:p>
    <w:bookmarkStart w:id="58" w:name="page59"/>
    <w:bookmarkEnd w:id="58"/>
    <w:p>
      <w:pPr>
        <w:jc w:val="both"/>
        <w:spacing w:after="0" w:line="209" w:lineRule="auto"/>
        <w:rPr>
          <w:sz w:val="20"/>
          <w:szCs w:val="20"/>
          <w:color w:val="auto"/>
        </w:rPr>
      </w:pPr>
      <w:r>
        <w:rPr>
          <w:rFonts w:ascii="Times New Roman" w:cs="Times New Roman" w:eastAsia="Times New Roman" w:hAnsi="Times New Roman"/>
          <w:sz w:val="21"/>
          <w:szCs w:val="21"/>
          <w:color w:val="auto"/>
        </w:rPr>
        <w:t>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withhold or account for Tax Liability in more than one jurisdiction.</w:t>
      </w:r>
    </w:p>
    <w:p>
      <w:pPr>
        <w:spacing w:after="0" w:line="172" w:lineRule="exact"/>
        <w:rPr>
          <w:sz w:val="20"/>
          <w:szCs w:val="20"/>
          <w:color w:val="auto"/>
        </w:rPr>
      </w:pPr>
    </w:p>
    <w:p>
      <w:pPr>
        <w:jc w:val="both"/>
        <w:ind w:firstLine="1278"/>
        <w:spacing w:after="0" w:line="214" w:lineRule="auto"/>
        <w:tabs>
          <w:tab w:leader="none" w:pos="1902"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 Dealer</w:t>
      </w:r>
      <w:r>
        <w:rPr>
          <w:rFonts w:ascii="Times New Roman" w:cs="Times New Roman" w:eastAsia="Times New Roman" w:hAnsi="Times New Roman"/>
          <w:sz w:val="21"/>
          <w:szCs w:val="21"/>
          <w:color w:val="auto"/>
        </w:rPr>
        <w:t>”),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w:t>
      </w:r>
    </w:p>
    <w:p>
      <w:pPr>
        <w:spacing w:after="0" w:line="175" w:lineRule="exact"/>
        <w:rPr>
          <w:rFonts w:ascii="Times New Roman" w:cs="Times New Roman" w:eastAsia="Times New Roman" w:hAnsi="Times New Roman"/>
          <w:sz w:val="21"/>
          <w:szCs w:val="21"/>
          <w:b w:val="1"/>
          <w:bCs w:val="1"/>
          <w:color w:val="auto"/>
        </w:rPr>
      </w:pPr>
    </w:p>
    <w:p>
      <w:pPr>
        <w:jc w:val="both"/>
        <w:ind w:firstLine="1278"/>
        <w:spacing w:after="0" w:line="207" w:lineRule="auto"/>
        <w:tabs>
          <w:tab w:leader="none" w:pos="1905"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spacing w:after="0" w:line="166" w:lineRule="exact"/>
        <w:rPr>
          <w:rFonts w:ascii="Times New Roman" w:cs="Times New Roman" w:eastAsia="Times New Roman" w:hAnsi="Times New Roman"/>
          <w:sz w:val="21"/>
          <w:szCs w:val="21"/>
          <w:b w:val="1"/>
          <w:bCs w:val="1"/>
          <w:color w:val="auto"/>
        </w:rPr>
      </w:pPr>
    </w:p>
    <w:p>
      <w:pPr>
        <w:jc w:val="both"/>
        <w:ind w:firstLine="1278"/>
        <w:spacing w:after="0" w:line="220" w:lineRule="auto"/>
        <w:tabs>
          <w:tab w:leader="none" w:pos="1902"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w:t>
      </w:r>
    </w:p>
    <w:p>
      <w:pPr>
        <w:sectPr>
          <w:pgSz w:w="11900" w:h="16838" w:orient="portrait"/>
          <w:cols w:equalWidth="0" w:num="1">
            <w:col w:w="11240"/>
          </w:cols>
          <w:pgMar w:left="320" w:top="1371" w:right="339" w:bottom="1440" w:gutter="0" w:footer="0" w:header="0"/>
        </w:sectPr>
      </w:pPr>
    </w:p>
    <w:bookmarkStart w:id="59" w:name="page60"/>
    <w:bookmarkEnd w:id="59"/>
    <w:p>
      <w:pPr>
        <w:ind w:left="1280" w:hanging="638"/>
        <w:spacing w:after="0"/>
        <w:tabs>
          <w:tab w:leader="none" w:pos="1280" w:val="left"/>
        </w:tabs>
        <w:numPr>
          <w:ilvl w:val="1"/>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DATE OF ISSUANCE.</w:t>
      </w:r>
    </w:p>
    <w:p>
      <w:pPr>
        <w:spacing w:after="0" w:line="226" w:lineRule="exact"/>
        <w:rPr>
          <w:rFonts w:ascii="Times New Roman" w:cs="Times New Roman" w:eastAsia="Times New Roman" w:hAnsi="Times New Roman"/>
          <w:sz w:val="21"/>
          <w:szCs w:val="21"/>
          <w:b w:val="1"/>
          <w:bCs w:val="1"/>
          <w:color w:val="auto"/>
        </w:rPr>
      </w:pPr>
    </w:p>
    <w:p>
      <w:pPr>
        <w:jc w:val="both"/>
        <w:ind w:firstLine="1278"/>
        <w:spacing w:after="0" w:line="205" w:lineRule="auto"/>
        <w:tabs>
          <w:tab w:leader="none" w:pos="1903" w:val="left"/>
        </w:tabs>
        <w:numPr>
          <w:ilvl w:val="2"/>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w:t>
      </w:r>
    </w:p>
    <w:p>
      <w:pPr>
        <w:spacing w:after="0" w:line="1" w:lineRule="exact"/>
        <w:rPr>
          <w:rFonts w:ascii="Times New Roman" w:cs="Times New Roman" w:eastAsia="Times New Roman" w:hAnsi="Times New Roman"/>
          <w:sz w:val="21"/>
          <w:szCs w:val="21"/>
          <w:b w:val="1"/>
          <w:bCs w:val="1"/>
          <w:color w:val="auto"/>
        </w:rPr>
      </w:pPr>
    </w:p>
    <w:p>
      <w:pPr>
        <w:ind w:left="300" w:hanging="294"/>
        <w:spacing w:after="0" w:line="210" w:lineRule="auto"/>
        <w:tabs>
          <w:tab w:leader="none" w:pos="30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of Common Stock for each vested Restricted Stock Unit. Each issuance date determined by this paragraph is referred to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w:t>
      </w:r>
      <w:r>
        <w:rPr>
          <w:rFonts w:ascii="Times New Roman" w:cs="Times New Roman" w:eastAsia="Times New Roman" w:hAnsi="Times New Roman"/>
          <w:sz w:val="21"/>
          <w:szCs w:val="21"/>
          <w:b w:val="1"/>
          <w:bCs w:val="1"/>
          <w:i w:val="1"/>
          <w:iCs w:val="1"/>
          <w:color w:val="auto"/>
        </w:rPr>
        <w:t>Original Issuance Date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firstLine="1278"/>
        <w:spacing w:after="0" w:line="236" w:lineRule="auto"/>
        <w:tabs>
          <w:tab w:leader="none" w:pos="1902" w:val="left"/>
        </w:tabs>
        <w:numPr>
          <w:ilvl w:val="2"/>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the Original Issuance Date falls on a date that is not a business day, delivery shall instead occur on the next following business day. In addition, if:</w:t>
      </w:r>
    </w:p>
    <w:p>
      <w:pPr>
        <w:spacing w:after="0" w:line="161" w:lineRule="exact"/>
        <w:rPr>
          <w:rFonts w:ascii="Times New Roman" w:cs="Times New Roman" w:eastAsia="Times New Roman" w:hAnsi="Times New Roman"/>
          <w:sz w:val="21"/>
          <w:szCs w:val="21"/>
          <w:b w:val="1"/>
          <w:bCs w:val="1"/>
          <w:color w:val="auto"/>
        </w:rPr>
      </w:pPr>
    </w:p>
    <w:p>
      <w:pPr>
        <w:jc w:val="both"/>
        <w:ind w:firstLine="1914"/>
        <w:spacing w:after="0" w:line="215" w:lineRule="auto"/>
        <w:tabs>
          <w:tab w:leader="none" w:pos="2532" w:val="left"/>
        </w:tabs>
        <w:numPr>
          <w:ilvl w:val="3"/>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1"/>
          <w:szCs w:val="21"/>
          <w:b w:val="1"/>
          <w:bCs w:val="1"/>
          <w:i w:val="1"/>
          <w:iCs w:val="1"/>
          <w:color w:val="auto"/>
        </w:rPr>
        <w:t>10b5-1 Arrangement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w:t>
      </w:r>
    </w:p>
    <w:p>
      <w:pPr>
        <w:spacing w:after="0" w:line="163" w:lineRule="exact"/>
        <w:rPr>
          <w:rFonts w:ascii="Times New Roman" w:cs="Times New Roman" w:eastAsia="Times New Roman" w:hAnsi="Times New Roman"/>
          <w:sz w:val="21"/>
          <w:szCs w:val="21"/>
          <w:b w:val="1"/>
          <w:bCs w:val="1"/>
          <w:color w:val="auto"/>
        </w:rPr>
      </w:pPr>
    </w:p>
    <w:p>
      <w:pPr>
        <w:jc w:val="both"/>
        <w:ind w:firstLine="1914"/>
        <w:spacing w:after="0" w:line="206" w:lineRule="auto"/>
        <w:tabs>
          <w:tab w:leader="none" w:pos="2538" w:val="left"/>
        </w:tabs>
        <w:numPr>
          <w:ilvl w:val="3"/>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w:t>
      </w:r>
    </w:p>
    <w:p>
      <w:pPr>
        <w:spacing w:after="0" w:line="3" w:lineRule="exact"/>
        <w:rPr>
          <w:rFonts w:ascii="Times New Roman" w:cs="Times New Roman" w:eastAsia="Times New Roman" w:hAnsi="Times New Roman"/>
          <w:sz w:val="21"/>
          <w:szCs w:val="21"/>
          <w:b w:val="1"/>
          <w:bCs w:val="1"/>
          <w:color w:val="auto"/>
        </w:rPr>
      </w:pPr>
    </w:p>
    <w:p>
      <w:pPr>
        <w:jc w:val="both"/>
        <w:ind w:firstLine="6"/>
        <w:spacing w:after="0" w:line="200" w:lineRule="auto"/>
        <w:tabs>
          <w:tab w:leader="none" w:pos="36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 to permit you to pay your Tax Liability in cash, </w:t>
      </w:r>
      <w:r>
        <w:rPr>
          <w:rFonts w:ascii="Times New Roman" w:cs="Times New Roman" w:eastAsia="Times New Roman" w:hAnsi="Times New Roman"/>
          <w:sz w:val="21"/>
          <w:szCs w:val="21"/>
          <w:u w:val="single" w:color="auto"/>
          <w:color w:val="auto"/>
        </w:rPr>
        <w:t>then</w:t>
      </w:r>
      <w:r>
        <w:rPr>
          <w:rFonts w:ascii="Times New Roman" w:cs="Times New Roman" w:eastAsia="Times New Roman" w:hAnsi="Times New Roman"/>
          <w:sz w:val="21"/>
          <w:szCs w:val="21"/>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1"/>
          <w:szCs w:val="21"/>
          <w:u w:val="single" w:color="auto"/>
          <w:color w:val="auto"/>
        </w:rPr>
        <w:t>if and only if</w:t>
      </w:r>
      <w:r>
        <w:rPr>
          <w:rFonts w:ascii="Times New Roman" w:cs="Times New Roman" w:eastAsia="Times New Roman" w:hAnsi="Times New Roman"/>
          <w:sz w:val="21"/>
          <w:szCs w:val="21"/>
          <w:color w:val="auto"/>
        </w:rPr>
        <w:t xml:space="preserve"> permitted in a manner that complies with U.S. Treasury Regulations Section 1.409A-1(b)</w:t>
      </w:r>
    </w:p>
    <w:p>
      <w:pPr>
        <w:jc w:val="both"/>
        <w:spacing w:after="0" w:line="2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w:t>
      </w:r>
    </w:p>
    <w:p>
      <w:pPr>
        <w:spacing w:after="0" w:line="157" w:lineRule="exact"/>
        <w:rPr>
          <w:rFonts w:ascii="Times New Roman" w:cs="Times New Roman" w:eastAsia="Times New Roman" w:hAnsi="Times New Roman"/>
          <w:sz w:val="21"/>
          <w:szCs w:val="21"/>
          <w:color w:val="auto"/>
        </w:rPr>
      </w:pPr>
    </w:p>
    <w:p>
      <w:pPr>
        <w:ind w:firstLine="642"/>
        <w:spacing w:after="0" w:line="249" w:lineRule="auto"/>
        <w:tabs>
          <w:tab w:leader="none" w:pos="1272" w:val="left"/>
        </w:tabs>
        <w:numPr>
          <w:ilvl w:val="1"/>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w:t>
      </w:r>
      <w:r>
        <w:rPr>
          <w:rFonts w:ascii="Times New Roman" w:cs="Times New Roman" w:eastAsia="Times New Roman" w:hAnsi="Times New Roman"/>
          <w:sz w:val="21"/>
          <w:szCs w:val="21"/>
          <w:color w:val="auto"/>
        </w:rPr>
        <w:t>Except as otherwise provided in the Plan, your RSU Award is not transferable, except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or by the applicable laws of descent and distribution.</w:t>
      </w:r>
    </w:p>
    <w:p>
      <w:pPr>
        <w:spacing w:after="0" w:line="161" w:lineRule="exact"/>
        <w:rPr>
          <w:rFonts w:ascii="Times New Roman" w:cs="Times New Roman" w:eastAsia="Times New Roman" w:hAnsi="Times New Roman"/>
          <w:sz w:val="21"/>
          <w:szCs w:val="21"/>
          <w:b w:val="1"/>
          <w:bCs w:val="1"/>
          <w:color w:val="auto"/>
        </w:rPr>
      </w:pPr>
    </w:p>
    <w:p>
      <w:pPr>
        <w:jc w:val="both"/>
        <w:ind w:firstLine="642"/>
        <w:spacing w:after="0" w:line="229" w:lineRule="auto"/>
        <w:tabs>
          <w:tab w:leader="none" w:pos="1272" w:val="left"/>
        </w:tabs>
        <w:numPr>
          <w:ilvl w:val="1"/>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Your RSU Award is subject to the terms of any agreement governing a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21"/>
          <w:szCs w:val="21"/>
          <w:b w:val="1"/>
          <w:bCs w:val="1"/>
          <w:color w:val="auto"/>
        </w:rPr>
      </w:pPr>
    </w:p>
    <w:p>
      <w:pPr>
        <w:jc w:val="both"/>
        <w:ind w:firstLine="642"/>
        <w:spacing w:after="0" w:line="219" w:lineRule="auto"/>
        <w:tabs>
          <w:tab w:leader="none" w:pos="1272" w:val="left"/>
        </w:tabs>
        <w:numPr>
          <w:ilvl w:val="1"/>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LIABILITY FOR TAXES</w:t>
      </w:r>
      <w:r>
        <w:rPr>
          <w:rFonts w:ascii="Times New Roman" w:cs="Times New Roman" w:eastAsia="Times New Roman" w:hAnsi="Times New Roman"/>
          <w:sz w:val="21"/>
          <w:szCs w:val="21"/>
          <w:color w:val="auto"/>
        </w:rPr>
        <w:t>. As a condition to accepting the RSU Award, you hereby (a) agree to not make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0" w:lineRule="exact"/>
        <w:rPr>
          <w:rFonts w:ascii="Times New Roman" w:cs="Times New Roman" w:eastAsia="Times New Roman" w:hAnsi="Times New Roman"/>
          <w:sz w:val="21"/>
          <w:szCs w:val="21"/>
          <w:b w:val="1"/>
          <w:bCs w:val="1"/>
          <w:color w:val="auto"/>
        </w:rPr>
      </w:pPr>
    </w:p>
    <w:p>
      <w:pPr>
        <w:jc w:val="both"/>
        <w:ind w:firstLine="642"/>
        <w:spacing w:after="0" w:line="229" w:lineRule="auto"/>
        <w:tabs>
          <w:tab w:leader="none" w:pos="1272" w:val="left"/>
        </w:tabs>
        <w:numPr>
          <w:ilvl w:val="1"/>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part of this Agreement or the Plan is declared by any court or governmental authority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unlawful or invalid, such unlawfulness or invalidity will not invalidate any portion of this Agreement or the Plan not declared to be unlawful or invalid.</w:t>
      </w:r>
    </w:p>
    <w:p>
      <w:pPr>
        <w:sectPr>
          <w:pgSz w:w="11900" w:h="16838" w:orient="portrait"/>
          <w:cols w:equalWidth="0" w:num="1">
            <w:col w:w="11240"/>
          </w:cols>
          <w:pgMar w:left="320" w:top="13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Any Section of this Agreement (or part of such a Section) so declared to be unlawful or invalid will, if possible, be construed in a</w:t>
      </w:r>
    </w:p>
    <w:p>
      <w:pPr>
        <w:spacing w:after="0" w:line="224" w:lineRule="auto"/>
        <w:rPr>
          <w:sz w:val="20"/>
          <w:szCs w:val="20"/>
          <w:color w:val="auto"/>
        </w:rPr>
      </w:pPr>
      <w:r>
        <w:rPr>
          <w:rFonts w:ascii="Times New Roman" w:cs="Times New Roman" w:eastAsia="Times New Roman" w:hAnsi="Times New Roman"/>
          <w:sz w:val="21"/>
          <w:szCs w:val="21"/>
          <w:color w:val="auto"/>
        </w:rPr>
        <w:t>manner which will give effect to the terms of such Section or part of a Section to the fullest extent possible while remaining lawful and valid.</w:t>
      </w:r>
    </w:p>
    <w:p>
      <w:pPr>
        <w:spacing w:after="0" w:line="170" w:lineRule="exact"/>
        <w:rPr>
          <w:sz w:val="20"/>
          <w:szCs w:val="20"/>
          <w:color w:val="auto"/>
        </w:rPr>
      </w:pPr>
    </w:p>
    <w:p>
      <w:pPr>
        <w:jc w:val="both"/>
        <w:ind w:firstLine="642"/>
        <w:spacing w:after="0" w:line="229" w:lineRule="auto"/>
        <w:tabs>
          <w:tab w:leader="none" w:pos="1272"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OTHER DOCUMENTS. </w:t>
      </w:r>
      <w:r>
        <w:rPr>
          <w:rFonts w:ascii="Times New Roman" w:cs="Times New Roman" w:eastAsia="Times New Roman" w:hAnsi="Times New Roman"/>
          <w:sz w:val="21"/>
          <w:szCs w:val="21"/>
          <w:color w:val="auto"/>
        </w:rPr>
        <w:t>You hereby acknowledge receipt of or the right to receive a document providing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required by Rule 428(b)(1) promulgated under the Securities Act, which includes the Prospectus. In addition, you acknowledge receipt of the Company’s Trading Policy.</w:t>
      </w:r>
    </w:p>
    <w:p>
      <w:pPr>
        <w:spacing w:after="0" w:line="170" w:lineRule="exact"/>
        <w:rPr>
          <w:rFonts w:ascii="Times New Roman" w:cs="Times New Roman" w:eastAsia="Times New Roman" w:hAnsi="Times New Roman"/>
          <w:sz w:val="21"/>
          <w:szCs w:val="21"/>
          <w:b w:val="1"/>
          <w:bCs w:val="1"/>
          <w:color w:val="auto"/>
        </w:rPr>
      </w:pPr>
    </w:p>
    <w:p>
      <w:pPr>
        <w:ind w:firstLine="642"/>
        <w:spacing w:after="0" w:line="249" w:lineRule="auto"/>
        <w:tabs>
          <w:tab w:leader="none" w:pos="1260"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QUESTIONS. </w:t>
      </w:r>
      <w:r>
        <w:rPr>
          <w:rFonts w:ascii="Times New Roman" w:cs="Times New Roman" w:eastAsia="Times New Roman" w:hAnsi="Times New Roman"/>
          <w:sz w:val="21"/>
          <w:szCs w:val="21"/>
          <w:color w:val="auto"/>
        </w:rPr>
        <w:t>If you have questions regarding these or any other terms and conditions applicable to your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including a summary of the applicable federal income tax consequences please see the Prospectus.</w:t>
      </w:r>
    </w:p>
    <w:p>
      <w:pPr>
        <w:spacing w:after="0" w:line="148" w:lineRule="exact"/>
        <w:rPr>
          <w:rFonts w:ascii="Times New Roman" w:cs="Times New Roman" w:eastAsia="Times New Roman" w:hAnsi="Times New Roman"/>
          <w:sz w:val="21"/>
          <w:szCs w:val="21"/>
          <w:b w:val="1"/>
          <w:bCs w:val="1"/>
          <w:color w:val="auto"/>
        </w:rPr>
      </w:pPr>
    </w:p>
    <w:p>
      <w:pPr>
        <w:jc w:val="both"/>
        <w:ind w:firstLine="642"/>
        <w:spacing w:after="0" w:line="215" w:lineRule="auto"/>
        <w:tabs>
          <w:tab w:leader="none" w:pos="1272"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Clawback/Recovery</w:t>
      </w:r>
      <w:r>
        <w:rPr>
          <w:rFonts w:ascii="Times New Roman" w:cs="Times New Roman" w:eastAsia="Times New Roman" w:hAnsi="Times New Roman"/>
          <w:sz w:val="21"/>
          <w:szCs w:val="21"/>
          <w:color w:val="auto"/>
        </w:rPr>
        <w:t>. The RSU Award will be subject to recoupment in accordance with any clawback policy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w:t>
      </w:r>
    </w:p>
    <w:p>
      <w:pPr>
        <w:sectPr>
          <w:pgSz w:w="11900" w:h="16838" w:orient="portrait"/>
          <w:cols w:equalWidth="0" w:num="1">
            <w:col w:w="11240"/>
          </w:cols>
          <w:pgMar w:left="320" w:top="1365" w:right="339" w:bottom="1440" w:gutter="0" w:footer="0" w:header="0"/>
        </w:sectPr>
      </w:pPr>
    </w:p>
    <w:bookmarkStart w:id="61" w:name="page62"/>
    <w:bookmarkEnd w:id="61"/>
    <w:p>
      <w:pPr>
        <w:jc w:val="center"/>
        <w:ind w:left="6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3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b w:val="1"/>
          <w:bCs w:val="1"/>
          <w:color w:val="auto"/>
        </w:rPr>
        <w:t>VESTING SCHEDULE</w:t>
      </w:r>
    </w:p>
    <w:p>
      <w:pPr>
        <w:spacing w:after="0" w:line="24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The number of Restricted Stock Units that vest shall be determined in accordance with the following terms and conditions. Capitalized terms not otherwise defined herein have the meanings set forth in the Grant Notice, the Agreement or the Plan, as applicable.</w:t>
      </w:r>
    </w:p>
    <w:p>
      <w:pPr>
        <w:spacing w:after="0" w:line="175" w:lineRule="exact"/>
        <w:rPr>
          <w:sz w:val="20"/>
          <w:szCs w:val="20"/>
          <w:color w:val="auto"/>
        </w:rPr>
      </w:pPr>
    </w:p>
    <w:p>
      <w:pPr>
        <w:jc w:val="both"/>
        <w:ind w:firstLine="642"/>
        <w:spacing w:after="0" w:line="250" w:lineRule="auto"/>
        <w:tabs>
          <w:tab w:leader="none" w:pos="1272"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Performance Period.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1"/>
          <w:szCs w:val="21"/>
          <w:color w:val="auto"/>
        </w:rPr>
        <w:t>” shall begin on January 1, 2025 and shall end on December 31,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2025 (the “</w:t>
      </w:r>
      <w:r>
        <w:rPr>
          <w:rFonts w:ascii="Times New Roman" w:cs="Times New Roman" w:eastAsia="Times New Roman" w:hAnsi="Times New Roman"/>
          <w:sz w:val="21"/>
          <w:szCs w:val="21"/>
          <w:b w:val="1"/>
          <w:bCs w:val="1"/>
          <w:i w:val="1"/>
          <w:iCs w:val="1"/>
          <w:color w:val="auto"/>
        </w:rPr>
        <w:t>Scheduled Performance Period End Date</w:t>
      </w:r>
      <w:r>
        <w:rPr>
          <w:rFonts w:ascii="Times New Roman" w:cs="Times New Roman" w:eastAsia="Times New Roman" w:hAnsi="Times New Roman"/>
          <w:sz w:val="21"/>
          <w:szCs w:val="21"/>
          <w:color w:val="auto"/>
        </w:rPr>
        <w:t>”). Notwithstanding the foregoing, in the event of a Change in Control prior to the Scheduled Performance Period End Date, the Performance Period shall be shortened and deemed to end immediately prior to the effective time of the Change in Control and the Award shall be treated as set forth in Section 4(a) of this Exhibit A.</w:t>
      </w:r>
    </w:p>
    <w:p>
      <w:pPr>
        <w:spacing w:after="0" w:line="186" w:lineRule="exact"/>
        <w:rPr>
          <w:rFonts w:ascii="Times New Roman" w:cs="Times New Roman" w:eastAsia="Times New Roman" w:hAnsi="Times New Roman"/>
          <w:sz w:val="21"/>
          <w:szCs w:val="21"/>
          <w:b w:val="1"/>
          <w:bCs w:val="1"/>
          <w:color w:val="auto"/>
        </w:rPr>
      </w:pPr>
    </w:p>
    <w:p>
      <w:pPr>
        <w:ind w:firstLine="642"/>
        <w:spacing w:after="0" w:line="276" w:lineRule="auto"/>
        <w:tabs>
          <w:tab w:leader="none" w:pos="1272"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Earning of Restricted Stock Units. </w:t>
      </w:r>
      <w:r>
        <w:rPr>
          <w:rFonts w:ascii="Times New Roman" w:cs="Times New Roman" w:eastAsia="Times New Roman" w:hAnsi="Times New Roman"/>
          <w:sz w:val="21"/>
          <w:szCs w:val="21"/>
          <w:color w:val="auto"/>
        </w:rPr>
        <w:t>Restricted Stock Units will be earned and eligible to vest (the “Earned Units”),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contingent upon achievement of the performance criteria during the Performance Period as described in Section 2(a) below.</w:t>
      </w:r>
    </w:p>
    <w:p>
      <w:pPr>
        <w:spacing w:after="0" w:line="160" w:lineRule="exact"/>
        <w:rPr>
          <w:rFonts w:ascii="Times New Roman" w:cs="Times New Roman" w:eastAsia="Times New Roman" w:hAnsi="Times New Roman"/>
          <w:sz w:val="21"/>
          <w:szCs w:val="21"/>
          <w:b w:val="1"/>
          <w:bCs w:val="1"/>
          <w:color w:val="auto"/>
        </w:rPr>
      </w:pPr>
    </w:p>
    <w:p>
      <w:pPr>
        <w:jc w:val="both"/>
        <w:ind w:firstLine="1278"/>
        <w:spacing w:after="0" w:line="250" w:lineRule="auto"/>
        <w:tabs>
          <w:tab w:leader="none" w:pos="1903" w:val="left"/>
        </w:tabs>
        <w:numPr>
          <w:ilvl w:val="1"/>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Performance Criteria. </w:t>
      </w:r>
      <w:r>
        <w:rPr>
          <w:rFonts w:ascii="Times New Roman" w:cs="Times New Roman" w:eastAsia="Times New Roman" w:hAnsi="Times New Roman"/>
          <w:sz w:val="21"/>
          <w:szCs w:val="21"/>
          <w:color w:val="auto"/>
        </w:rPr>
        <w:t>For the purposes of this agreement, performance is subject to the achievement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both Adjusted EBITDA and New Writings goals during the Performance period as outlined in the matrix set forth in </w:t>
      </w:r>
      <w:r>
        <w:rPr>
          <w:rFonts w:ascii="Times New Roman" w:cs="Times New Roman" w:eastAsia="Times New Roman" w:hAnsi="Times New Roman"/>
          <w:sz w:val="21"/>
          <w:szCs w:val="21"/>
          <w:b w:val="1"/>
          <w:bCs w:val="1"/>
          <w:color w:val="auto"/>
        </w:rPr>
        <w:t>Appendix A</w:t>
      </w:r>
      <w:r>
        <w:rPr>
          <w:rFonts w:ascii="Times New Roman" w:cs="Times New Roman" w:eastAsia="Times New Roman" w:hAnsi="Times New Roman"/>
          <w:sz w:val="21"/>
          <w:szCs w:val="21"/>
          <w:color w:val="auto"/>
        </w:rPr>
        <w:t>, as certified by the Compensation Committee. The Compensation Committee retains discretion to adjust the matrix as set forth in the Plan.</w:t>
      </w:r>
    </w:p>
    <w:p>
      <w:pPr>
        <w:spacing w:after="0" w:line="19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21"/>
          <w:szCs w:val="21"/>
          <w:color w:val="auto"/>
        </w:rPr>
        <w:t>If performance falls between any of the amounts set forth in the matrix, the number of Earned Units shall be determined by interpolation. Any portion of the target award not earned during the term of the Award based upon the Company’s actual performance as measured against the applicable performance criteria shall expire and be forfeited.</w:t>
      </w:r>
    </w:p>
    <w:p>
      <w:pPr>
        <w:spacing w:after="0" w:line="192" w:lineRule="exact"/>
        <w:rPr>
          <w:sz w:val="20"/>
          <w:szCs w:val="20"/>
          <w:color w:val="auto"/>
        </w:rPr>
      </w:pPr>
    </w:p>
    <w:p>
      <w:pPr>
        <w:jc w:val="both"/>
        <w:ind w:firstLine="1914"/>
        <w:spacing w:after="0" w:line="248" w:lineRule="auto"/>
        <w:tabs>
          <w:tab w:leader="none" w:pos="2532"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the purposes of this Agreement, New Writings is defined as the count of new policies written based on the initial (term 1) policy effective date in the calendar period. Rewrites from previously canceled policies are considered. This metric is the best measure of company growth, unaffected by offsets. New Writings are inclusive of Direct and Partnership acquisition channels.</w:t>
      </w:r>
    </w:p>
    <w:p>
      <w:pPr>
        <w:spacing w:after="0" w:line="194" w:lineRule="exact"/>
        <w:rPr>
          <w:rFonts w:ascii="Times New Roman" w:cs="Times New Roman" w:eastAsia="Times New Roman" w:hAnsi="Times New Roman"/>
          <w:sz w:val="21"/>
          <w:szCs w:val="21"/>
          <w:b w:val="1"/>
          <w:bCs w:val="1"/>
          <w:color w:val="auto"/>
        </w:rPr>
      </w:pPr>
    </w:p>
    <w:p>
      <w:pPr>
        <w:jc w:val="both"/>
        <w:ind w:firstLine="1914"/>
        <w:spacing w:after="0"/>
        <w:tabs>
          <w:tab w:leader="none" w:pos="2538"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the purposes of this Agreement, Adjusted EBITDA, a non-GAAP financial measure defined as net loss excluding interest expense, income tax expense, depreciation and amortization, share-based compensation, warrant compensation expense, restructuring charges, and write-off of prepaid marketing expense and reclassifications of certain sales and marketing expenses, and related legal and other fees, net of anticipated insurance recovery. For fiscal 2025, also excluding incremental STI payouts above target and expense related to additional STI eligibility for employees. The Compensation Committee has the discretion to modify adjusted EBITDA for purposes of Root's performance stock targets for unusual items as they arise and determine the appropriateness of adjustments to adjusted EBITDA.</w:t>
      </w:r>
    </w:p>
    <w:p>
      <w:pPr>
        <w:sectPr>
          <w:pgSz w:w="11900" w:h="16838" w:orient="portrait"/>
          <w:cols w:equalWidth="0" w:num="1">
            <w:col w:w="11240"/>
          </w:cols>
          <w:pgMar w:left="320" w:top="1380" w:right="339" w:bottom="1440" w:gutter="0" w:footer="0" w:header="0"/>
        </w:sectPr>
      </w:pPr>
    </w:p>
    <w:bookmarkStart w:id="62" w:name="page63"/>
    <w:bookmarkEnd w:id="62"/>
    <w:p>
      <w:pPr>
        <w:jc w:val="both"/>
        <w:ind w:left="-6" w:firstLine="642"/>
        <w:spacing w:after="0" w:line="250" w:lineRule="auto"/>
        <w:tabs>
          <w:tab w:leader="none" w:pos="1266"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Holding Period. </w:t>
      </w:r>
      <w:r>
        <w:rPr>
          <w:rFonts w:ascii="Times New Roman" w:cs="Times New Roman" w:eastAsia="Times New Roman" w:hAnsi="Times New Roman"/>
          <w:sz w:val="21"/>
          <w:szCs w:val="21"/>
          <w:color w:val="auto"/>
        </w:rPr>
        <w:t>Any Earned Units shall be subject to a three-year restricted “Holding Period” which shall begin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January 1, 2026 and shall end on January 1, 2029, with 25% of the Earned Units vesting on the date the Compensation Committee certifies performance as set forth in Section 2(a) and the remainder annually thereafter (25% per year) on January 1 so long as the Participant has remained in Continuous Service through such date (subject to Section 4).</w:t>
      </w:r>
    </w:p>
    <w:p>
      <w:pPr>
        <w:spacing w:after="0" w:line="186" w:lineRule="exact"/>
        <w:rPr>
          <w:rFonts w:ascii="Times New Roman" w:cs="Times New Roman" w:eastAsia="Times New Roman" w:hAnsi="Times New Roman"/>
          <w:sz w:val="21"/>
          <w:szCs w:val="21"/>
          <w:b w:val="1"/>
          <w:bCs w:val="1"/>
          <w:color w:val="auto"/>
        </w:rPr>
      </w:pPr>
    </w:p>
    <w:p>
      <w:pPr>
        <w:ind w:left="1274" w:hanging="638"/>
        <w:spacing w:after="0"/>
        <w:tabs>
          <w:tab w:leader="none" w:pos="1274"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Continuous Service</w:t>
      </w:r>
    </w:p>
    <w:p>
      <w:pPr>
        <w:spacing w:after="0" w:line="235" w:lineRule="exact"/>
        <w:rPr>
          <w:rFonts w:ascii="Times New Roman" w:cs="Times New Roman" w:eastAsia="Times New Roman" w:hAnsi="Times New Roman"/>
          <w:sz w:val="21"/>
          <w:szCs w:val="21"/>
          <w:b w:val="1"/>
          <w:bCs w:val="1"/>
          <w:color w:val="auto"/>
        </w:rPr>
      </w:pPr>
    </w:p>
    <w:p>
      <w:pPr>
        <w:jc w:val="both"/>
        <w:ind w:left="-6" w:firstLine="1278"/>
        <w:spacing w:after="0" w:line="242" w:lineRule="auto"/>
        <w:tabs>
          <w:tab w:leader="none" w:pos="1897" w:val="left"/>
        </w:tabs>
        <w:numPr>
          <w:ilvl w:val="2"/>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Impact of Change in Control. </w:t>
      </w:r>
      <w:r>
        <w:rPr>
          <w:rFonts w:ascii="Times New Roman" w:cs="Times New Roman" w:eastAsia="Times New Roman" w:hAnsi="Times New Roman"/>
          <w:sz w:val="21"/>
          <w:szCs w:val="21"/>
          <w:color w:val="auto"/>
        </w:rPr>
        <w:t>If, during the Performance Period, a Change in Control occurs, then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Period will be shortened such that the Performance Period will end as of immediately prior to the Change in Control and will vest at the greater of target or, to the extent that any of the Performance Criteria are achieved on a prorated basis based on the number of days in the Performance Period that have elapsed prior to the Change in Control, as certified by the Compensation Committee within five business days prior to the Change in Control, such higher amount and the Earned Units will become immediately vested. If a Change in Control occurs during the Holding Period, any Earned Units will become immediately vested.</w:t>
      </w:r>
    </w:p>
    <w:p>
      <w:pPr>
        <w:spacing w:after="0" w:line="195" w:lineRule="exact"/>
        <w:rPr>
          <w:rFonts w:ascii="Times New Roman" w:cs="Times New Roman" w:eastAsia="Times New Roman" w:hAnsi="Times New Roman"/>
          <w:sz w:val="21"/>
          <w:szCs w:val="21"/>
          <w:b w:val="1"/>
          <w:bCs w:val="1"/>
          <w:color w:val="auto"/>
        </w:rPr>
      </w:pPr>
    </w:p>
    <w:p>
      <w:pPr>
        <w:jc w:val="both"/>
        <w:ind w:left="-6" w:firstLine="1278"/>
        <w:spacing w:after="0" w:line="238" w:lineRule="auto"/>
        <w:tabs>
          <w:tab w:leader="none" w:pos="1896" w:val="left"/>
        </w:tabs>
        <w:numPr>
          <w:ilvl w:val="2"/>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Impact of Retirement. </w:t>
      </w:r>
      <w:r>
        <w:rPr>
          <w:rFonts w:ascii="Times New Roman" w:cs="Times New Roman" w:eastAsia="Times New Roman" w:hAnsi="Times New Roman"/>
          <w:sz w:val="21"/>
          <w:szCs w:val="21"/>
          <w:color w:val="auto"/>
        </w:rPr>
        <w:t>If, during the Performance Period or thereafter during the Holding Period,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terminates his or her Continuous Service by reason of Retirement, the Award shall remain outstanding and eligible to be earned and to vest pursuant to the foregoing provisions of this Exhibit A (including the Holding Period requirement and the provisions with respect to a Change in Control) and the number of Earned Units shall be equal to (a) in the case of a Retirement prior to the commencement of the Holding Period, the number of Earned Units (if any) determined pursuant to the foregoing provisions of this Exhibit A based on the Company’s actual performance as measured against the applicable performance criteria multiplied by a fraction, the numerator of which is the number of days in the Performance Period that the Participant was in Continuous Service with the Company and the denominator of which is 365; and (b) in the case of a Retirement during the Holding Period, the number of Earned Units determined pursuant to the foregoing provisions of this Exhibit A. “Retirement” shall mean a termination of Continuous Service with the Company (including a termination by reason of death or Disability) that is not a termination for Cause and that occurs (i) upon or following the attainment of age of 55 with 10 years of service with the Company,</w:t>
      </w:r>
    </w:p>
    <w:p>
      <w:pPr>
        <w:spacing w:after="0" w:line="4" w:lineRule="exact"/>
        <w:rPr>
          <w:rFonts w:ascii="Times New Roman" w:cs="Times New Roman" w:eastAsia="Times New Roman" w:hAnsi="Times New Roman"/>
          <w:sz w:val="21"/>
          <w:szCs w:val="21"/>
          <w:b w:val="1"/>
          <w:bCs w:val="1"/>
          <w:color w:val="auto"/>
        </w:rPr>
      </w:pPr>
    </w:p>
    <w:p>
      <w:pPr>
        <w:jc w:val="both"/>
        <w:ind w:left="-6" w:firstLine="6"/>
        <w:spacing w:after="0"/>
        <w:tabs>
          <w:tab w:leader="none" w:pos="32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more than six months following the date of grant of this Award and (iii) where the termination is initiated by the Participant, upon no less than six months’ advance written notice by the Participant. “Retirement” shall not mean a termination of Continuous Service that results from an act or omission permitting the Compensation Committee to exercise its discretion to seek recovery of Incentive-Based Compensation under any of the clawback policies and provisions described in Section 12 of the Agreement.</w:t>
      </w:r>
    </w:p>
    <w:p>
      <w:pPr>
        <w:spacing w:after="0" w:line="198" w:lineRule="exact"/>
        <w:rPr>
          <w:rFonts w:ascii="Times New Roman" w:cs="Times New Roman" w:eastAsia="Times New Roman" w:hAnsi="Times New Roman"/>
          <w:sz w:val="21"/>
          <w:szCs w:val="21"/>
          <w:color w:val="auto"/>
        </w:rPr>
      </w:pPr>
    </w:p>
    <w:p>
      <w:pPr>
        <w:jc w:val="both"/>
        <w:ind w:left="-6" w:firstLine="1278"/>
        <w:spacing w:after="0" w:line="245" w:lineRule="auto"/>
        <w:tabs>
          <w:tab w:leader="none" w:pos="1899" w:val="left"/>
        </w:tabs>
        <w:numPr>
          <w:ilvl w:val="2"/>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other than Retirement. </w:t>
      </w:r>
      <w:r>
        <w:rPr>
          <w:rFonts w:ascii="Times New Roman" w:cs="Times New Roman" w:eastAsia="Times New Roman" w:hAnsi="Times New Roman"/>
          <w:sz w:val="21"/>
          <w:szCs w:val="21"/>
          <w:color w:val="auto"/>
        </w:rPr>
        <w:t>If, during the Performance Period or thereafter during the Holding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the Participant terminates his or her Continuous Service for reasons other than a Retirement, the Award shall be canceled and forfeited as of the date of such termination, except as may be set forth in a written employment or severance arrangement between the Participant and the Company.</w:t>
      </w:r>
    </w:p>
    <w:p>
      <w:pPr>
        <w:sectPr>
          <w:pgSz w:w="11900" w:h="16838" w:orient="portrait"/>
          <w:cols w:equalWidth="0" w:num="1">
            <w:col w:w="11234"/>
          </w:cols>
          <w:pgMar w:left="326" w:top="138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111111"/>
        </w:rPr>
        <w:t>Policy for the Acceleration of Equity Awards in the Event of Death</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111111"/>
        </w:rPr>
        <w:t>Effective April 30, 2025</w:t>
      </w:r>
    </w:p>
    <w:p>
      <w:pPr>
        <w:spacing w:after="0" w:line="200" w:lineRule="exact"/>
        <w:rPr>
          <w:sz w:val="20"/>
          <w:szCs w:val="20"/>
          <w:color w:val="auto"/>
        </w:rPr>
      </w:pPr>
    </w:p>
    <w:p>
      <w:pPr>
        <w:spacing w:after="0" w:line="246" w:lineRule="exact"/>
        <w:rPr>
          <w:sz w:val="20"/>
          <w:szCs w:val="20"/>
          <w:color w:val="auto"/>
        </w:rPr>
      </w:pPr>
    </w:p>
    <w:p>
      <w:pPr>
        <w:jc w:val="both"/>
        <w:ind w:right="20" w:firstLine="636"/>
        <w:spacing w:after="0" w:line="256" w:lineRule="auto"/>
        <w:rPr>
          <w:sz w:val="20"/>
          <w:szCs w:val="20"/>
          <w:color w:val="auto"/>
        </w:rPr>
      </w:pPr>
      <w:r>
        <w:rPr>
          <w:rFonts w:ascii="Times New Roman" w:cs="Times New Roman" w:eastAsia="Times New Roman" w:hAnsi="Times New Roman"/>
          <w:sz w:val="21"/>
          <w:szCs w:val="21"/>
          <w:b w:val="1"/>
          <w:bCs w:val="1"/>
          <w:color w:val="222222"/>
        </w:rPr>
        <w:t>Whereas</w:t>
      </w:r>
      <w:r>
        <w:rPr>
          <w:rFonts w:ascii="Times New Roman" w:cs="Times New Roman" w:eastAsia="Times New Roman" w:hAnsi="Times New Roman"/>
          <w:sz w:val="21"/>
          <w:szCs w:val="21"/>
          <w:color w:val="222222"/>
        </w:rPr>
        <w:t>, the Company has adopted and maintains the 2020 Equity Incentive Plan (the “</w:t>
      </w:r>
      <w:r>
        <w:rPr>
          <w:rFonts w:ascii="Times New Roman" w:cs="Times New Roman" w:eastAsia="Times New Roman" w:hAnsi="Times New Roman"/>
          <w:sz w:val="21"/>
          <w:szCs w:val="21"/>
          <w:b w:val="1"/>
          <w:bCs w:val="1"/>
          <w:i w:val="1"/>
          <w:iCs w:val="1"/>
          <w:color w:val="222222"/>
        </w:rPr>
        <w:t>2020 Plan</w:t>
      </w:r>
      <w:r>
        <w:rPr>
          <w:rFonts w:ascii="Times New Roman" w:cs="Times New Roman" w:eastAsia="Times New Roman" w:hAnsi="Times New Roman"/>
          <w:sz w:val="21"/>
          <w:szCs w:val="21"/>
          <w:color w:val="222222"/>
        </w:rPr>
        <w:t>”) and preceding 2015</w:t>
      </w:r>
      <w:r>
        <w:rPr>
          <w:rFonts w:ascii="Times New Roman" w:cs="Times New Roman" w:eastAsia="Times New Roman" w:hAnsi="Times New Roman"/>
          <w:sz w:val="21"/>
          <w:szCs w:val="21"/>
          <w:b w:val="1"/>
          <w:bCs w:val="1"/>
          <w:color w:val="222222"/>
        </w:rPr>
        <w:t xml:space="preserve"> </w:t>
      </w:r>
      <w:r>
        <w:rPr>
          <w:rFonts w:ascii="Times New Roman" w:cs="Times New Roman" w:eastAsia="Times New Roman" w:hAnsi="Times New Roman"/>
          <w:sz w:val="21"/>
          <w:szCs w:val="21"/>
          <w:color w:val="222222"/>
        </w:rPr>
        <w:t>Equity Incentive Plan (the “2015 Plan”) for the purposes of providing equity incentives to “</w:t>
      </w:r>
      <w:r>
        <w:rPr>
          <w:rFonts w:ascii="Times New Roman" w:cs="Times New Roman" w:eastAsia="Times New Roman" w:hAnsi="Times New Roman"/>
          <w:sz w:val="21"/>
          <w:szCs w:val="21"/>
          <w:b w:val="1"/>
          <w:bCs w:val="1"/>
          <w:i w:val="1"/>
          <w:iCs w:val="1"/>
          <w:color w:val="222222"/>
        </w:rPr>
        <w:t>Participants</w:t>
      </w:r>
      <w:r>
        <w:rPr>
          <w:rFonts w:ascii="Times New Roman" w:cs="Times New Roman" w:eastAsia="Times New Roman" w:hAnsi="Times New Roman"/>
          <w:sz w:val="21"/>
          <w:szCs w:val="21"/>
          <w:color w:val="222222"/>
        </w:rPr>
        <w:t>” (as such term is defined in the 2020 Plan and 2015 Plan, as applicable);</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222222"/>
        </w:rPr>
        <w:t>Whereas</w:t>
      </w:r>
      <w:r>
        <w:rPr>
          <w:rFonts w:ascii="Times New Roman" w:cs="Times New Roman" w:eastAsia="Times New Roman" w:hAnsi="Times New Roman"/>
          <w:sz w:val="21"/>
          <w:szCs w:val="21"/>
          <w:color w:val="222222"/>
        </w:rPr>
        <w:t>, pursuant to Section 7 of the 2020 Plan and Section 4 of the 2015 Plan, as applicable, the Compensation</w:t>
      </w:r>
      <w:r>
        <w:rPr>
          <w:rFonts w:ascii="Times New Roman" w:cs="Times New Roman" w:eastAsia="Times New Roman" w:hAnsi="Times New Roman"/>
          <w:sz w:val="21"/>
          <w:szCs w:val="21"/>
          <w:b w:val="1"/>
          <w:bCs w:val="1"/>
          <w:color w:val="222222"/>
        </w:rPr>
        <w:t xml:space="preserve"> </w:t>
      </w:r>
      <w:r>
        <w:rPr>
          <w:rFonts w:ascii="Times New Roman" w:cs="Times New Roman" w:eastAsia="Times New Roman" w:hAnsi="Times New Roman"/>
          <w:sz w:val="21"/>
          <w:szCs w:val="21"/>
          <w:color w:val="222222"/>
        </w:rPr>
        <w:t>Committee has the power to accelerate the time at which any Award (as defined in the 2020 Plan and the 2015 Plan, respectively) may first be exercised and the time during which any Award or any part thereof will vest; and</w:t>
      </w:r>
    </w:p>
    <w:p>
      <w:pPr>
        <w:spacing w:after="0" w:line="181" w:lineRule="exact"/>
        <w:rPr>
          <w:sz w:val="20"/>
          <w:szCs w:val="20"/>
          <w:color w:val="auto"/>
        </w:rPr>
      </w:pPr>
    </w:p>
    <w:p>
      <w:pPr>
        <w:jc w:val="both"/>
        <w:ind w:firstLine="636"/>
        <w:spacing w:after="0" w:line="243" w:lineRule="auto"/>
        <w:rPr>
          <w:sz w:val="20"/>
          <w:szCs w:val="20"/>
          <w:color w:val="auto"/>
        </w:rPr>
      </w:pPr>
      <w:r>
        <w:rPr>
          <w:rFonts w:ascii="Times New Roman" w:cs="Times New Roman" w:eastAsia="Times New Roman" w:hAnsi="Times New Roman"/>
          <w:sz w:val="21"/>
          <w:szCs w:val="21"/>
          <w:b w:val="1"/>
          <w:bCs w:val="1"/>
          <w:color w:val="222222"/>
        </w:rPr>
        <w:t>Whereas</w:t>
      </w:r>
      <w:r>
        <w:rPr>
          <w:rFonts w:ascii="Times New Roman" w:cs="Times New Roman" w:eastAsia="Times New Roman" w:hAnsi="Times New Roman"/>
          <w:sz w:val="21"/>
          <w:szCs w:val="21"/>
          <w:color w:val="222222"/>
        </w:rPr>
        <w:t>, the Compensation Committee believes it is in the best interest of the Company that in the event of a Participant’s</w:t>
      </w:r>
      <w:r>
        <w:rPr>
          <w:rFonts w:ascii="Times New Roman" w:cs="Times New Roman" w:eastAsia="Times New Roman" w:hAnsi="Times New Roman"/>
          <w:sz w:val="21"/>
          <w:szCs w:val="21"/>
          <w:b w:val="1"/>
          <w:bCs w:val="1"/>
          <w:color w:val="222222"/>
        </w:rPr>
        <w:t xml:space="preserve"> </w:t>
      </w:r>
      <w:r>
        <w:rPr>
          <w:rFonts w:ascii="Times New Roman" w:cs="Times New Roman" w:eastAsia="Times New Roman" w:hAnsi="Times New Roman"/>
          <w:sz w:val="21"/>
          <w:szCs w:val="21"/>
          <w:color w:val="222222"/>
        </w:rPr>
        <w:t>death, the vesting of any outstanding and unvested time-based Restricted Stock Awards (as such terms are respectively defined in the 2020 Plan and 2015 Plan) and any outstanding and unvested time-based Options (as defined in the 2020 Plan and the 2015 Plan, respectively) then held by the Participant shall accelerate effective as of the Participant’s death (such acceleration policy, the “</w:t>
      </w:r>
      <w:r>
        <w:rPr>
          <w:rFonts w:ascii="Times New Roman" w:cs="Times New Roman" w:eastAsia="Times New Roman" w:hAnsi="Times New Roman"/>
          <w:sz w:val="21"/>
          <w:szCs w:val="21"/>
          <w:b w:val="1"/>
          <w:bCs w:val="1"/>
          <w:i w:val="1"/>
          <w:iCs w:val="1"/>
          <w:color w:val="222222"/>
        </w:rPr>
        <w:t>Acceleration Policy</w:t>
      </w:r>
      <w:r>
        <w:rPr>
          <w:rFonts w:ascii="Times New Roman" w:cs="Times New Roman" w:eastAsia="Times New Roman" w:hAnsi="Times New Roman"/>
          <w:sz w:val="21"/>
          <w:szCs w:val="21"/>
          <w:color w:val="222222"/>
        </w:rPr>
        <w:t>”);and</w:t>
      </w:r>
    </w:p>
    <w:p>
      <w:pPr>
        <w:spacing w:after="0" w:line="19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222222"/>
        </w:rPr>
        <w:t>Whereas</w:t>
      </w:r>
      <w:r>
        <w:rPr>
          <w:rFonts w:ascii="Times New Roman" w:cs="Times New Roman" w:eastAsia="Times New Roman" w:hAnsi="Times New Roman"/>
          <w:sz w:val="21"/>
          <w:szCs w:val="21"/>
          <w:color w:val="222222"/>
        </w:rPr>
        <w:t>, the Compensation Committee believes it is in the best interest of the Company that in the event of a Participant’s</w:t>
      </w:r>
      <w:r>
        <w:rPr>
          <w:rFonts w:ascii="Times New Roman" w:cs="Times New Roman" w:eastAsia="Times New Roman" w:hAnsi="Times New Roman"/>
          <w:sz w:val="21"/>
          <w:szCs w:val="21"/>
          <w:b w:val="1"/>
          <w:bCs w:val="1"/>
          <w:color w:val="222222"/>
        </w:rPr>
        <w:t xml:space="preserve"> </w:t>
      </w:r>
      <w:r>
        <w:rPr>
          <w:rFonts w:ascii="Times New Roman" w:cs="Times New Roman" w:eastAsia="Times New Roman" w:hAnsi="Times New Roman"/>
          <w:sz w:val="21"/>
          <w:szCs w:val="21"/>
          <w:color w:val="222222"/>
        </w:rPr>
        <w:t>death , unvested performance-based restricted stock units shall be accelerated and fully vested at target level in the event of a death during the performance period and fully vested at the earned levels in the event of a death after the performance period.</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222222"/>
        </w:rPr>
        <w:t>Now, Therefore, Be It Resolved</w:t>
      </w:r>
      <w:r>
        <w:rPr>
          <w:rFonts w:ascii="Times New Roman" w:cs="Times New Roman" w:eastAsia="Times New Roman" w:hAnsi="Times New Roman"/>
          <w:sz w:val="21"/>
          <w:szCs w:val="21"/>
          <w:color w:val="222222"/>
        </w:rPr>
        <w:t>, that, the Acceleration Policy is hereby approved, and shall apply automatically to both</w:t>
      </w:r>
      <w:r>
        <w:rPr>
          <w:rFonts w:ascii="Times New Roman" w:cs="Times New Roman" w:eastAsia="Times New Roman" w:hAnsi="Times New Roman"/>
          <w:sz w:val="21"/>
          <w:szCs w:val="21"/>
          <w:b w:val="1"/>
          <w:bCs w:val="1"/>
          <w:color w:val="222222"/>
        </w:rPr>
        <w:t xml:space="preserve"> </w:t>
      </w:r>
      <w:r>
        <w:rPr>
          <w:rFonts w:ascii="Times New Roman" w:cs="Times New Roman" w:eastAsia="Times New Roman" w:hAnsi="Times New Roman"/>
          <w:sz w:val="21"/>
          <w:szCs w:val="21"/>
          <w:color w:val="222222"/>
        </w:rPr>
        <w:t>outstanding awards and awards granted in the future, unless and until rescinded by the Compensation Committee, and/or unless a different equity award treatment is approved by the Compensation Committee with respect to particular individuals or awards; and</w:t>
      </w:r>
    </w:p>
    <w:p>
      <w:pPr>
        <w:spacing w:after="0" w:line="181"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222222"/>
        </w:rPr>
        <w:t>Resolved Further</w:t>
      </w:r>
      <w:r>
        <w:rPr>
          <w:rFonts w:ascii="Times New Roman" w:cs="Times New Roman" w:eastAsia="Times New Roman" w:hAnsi="Times New Roman"/>
          <w:sz w:val="21"/>
          <w:szCs w:val="21"/>
          <w:color w:val="222222"/>
        </w:rPr>
        <w:t>, that the officers of the Company are authorized to take such other actions and sign such other documents</w:t>
      </w:r>
      <w:r>
        <w:rPr>
          <w:rFonts w:ascii="Times New Roman" w:cs="Times New Roman" w:eastAsia="Times New Roman" w:hAnsi="Times New Roman"/>
          <w:sz w:val="21"/>
          <w:szCs w:val="21"/>
          <w:b w:val="1"/>
          <w:bCs w:val="1"/>
          <w:color w:val="222222"/>
        </w:rPr>
        <w:t xml:space="preserve"> </w:t>
      </w:r>
      <w:r>
        <w:rPr>
          <w:rFonts w:ascii="Times New Roman" w:cs="Times New Roman" w:eastAsia="Times New Roman" w:hAnsi="Times New Roman"/>
          <w:sz w:val="21"/>
          <w:szCs w:val="21"/>
          <w:color w:val="222222"/>
        </w:rPr>
        <w:t>as may be necessary or advisable to carry out the intent of the foregoing resolutions.</w:t>
      </w:r>
    </w:p>
    <w:p>
      <w:pPr>
        <w:sectPr>
          <w:pgSz w:w="11900" w:h="16838" w:orient="portrait"/>
          <w:cols w:equalWidth="0" w:num="1">
            <w:col w:w="11240"/>
          </w:cols>
          <w:pgMar w:left="320" w:top="138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Root,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Adopted May 1, 2025</w:t>
      </w:r>
    </w:p>
    <w:p>
      <w:pPr>
        <w:spacing w:after="0" w:line="2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Each member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Root,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who is not an employee of the Company (each, a “</w:t>
      </w:r>
      <w:r>
        <w:rPr>
          <w:rFonts w:ascii="Times New Roman" w:cs="Times New Roman" w:eastAsia="Times New Roman" w:hAnsi="Times New Roman"/>
          <w:sz w:val="21"/>
          <w:szCs w:val="21"/>
          <w:b w:val="1"/>
          <w:bCs w:val="1"/>
          <w:i w:val="1"/>
          <w:iCs w:val="1"/>
          <w:color w:val="auto"/>
        </w:rPr>
        <w:t>Non-Employee Director</w:t>
      </w:r>
      <w:r>
        <w:rPr>
          <w:rFonts w:ascii="Times New Roman" w:cs="Times New Roman" w:eastAsia="Times New Roman" w:hAnsi="Times New Roman"/>
          <w:sz w:val="21"/>
          <w:szCs w:val="21"/>
          <w:color w:val="auto"/>
        </w:rPr>
        <w:t>”) will receive the compensation described in this Non-Employee Director Compensation Policy (this “</w:t>
      </w:r>
      <w:r>
        <w:rPr>
          <w:rFonts w:ascii="Times New Roman" w:cs="Times New Roman" w:eastAsia="Times New Roman" w:hAnsi="Times New Roman"/>
          <w:sz w:val="21"/>
          <w:szCs w:val="21"/>
          <w:b w:val="1"/>
          <w:bCs w:val="1"/>
          <w:i w:val="1"/>
          <w:iCs w:val="1"/>
          <w:color w:val="auto"/>
        </w:rPr>
        <w:t>Director Compensation Policy</w:t>
      </w:r>
      <w:r>
        <w:rPr>
          <w:rFonts w:ascii="Times New Roman" w:cs="Times New Roman" w:eastAsia="Times New Roman" w:hAnsi="Times New Roman"/>
          <w:sz w:val="21"/>
          <w:szCs w:val="21"/>
          <w:color w:val="auto"/>
        </w:rPr>
        <w:t>”) for his or her Board service, subject to the terms and conditions set forth herein.</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Director Compensation Policy may be amended or modified, or any provision of it waived, at any time in the sole discretion of the Board or the Compensation Committee of the Board (the “</w:t>
      </w:r>
      <w:r>
        <w:rPr>
          <w:rFonts w:ascii="Times New Roman" w:cs="Times New Roman" w:eastAsia="Times New Roman" w:hAnsi="Times New Roman"/>
          <w:sz w:val="21"/>
          <w:szCs w:val="21"/>
          <w:b w:val="1"/>
          <w:bCs w:val="1"/>
          <w:i w:val="1"/>
          <w:iCs w:val="1"/>
          <w:color w:val="auto"/>
        </w:rPr>
        <w:t>Compensation Committee</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Notwithstanding the foregoing, the Board or Compensation Committee may make supplemental grants to Non-Employee Directors in its discretion.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Retainers</w:t>
      </w:r>
    </w:p>
    <w:p>
      <w:pPr>
        <w:spacing w:after="0" w:line="23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color w:val="auto"/>
        </w:rPr>
        <w:t>This Director Compensation Policy will be effective as of the date of its adoption, as set forth above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The annual cash compensation amounts will be payable in equal quarterly installments in arrears on the last day of each fiscal quarter in which the service occurs, prorated for any partial months of service.</w:t>
      </w:r>
    </w:p>
    <w:p>
      <w:pPr>
        <w:spacing w:after="0" w:line="185"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Commencing on the Effective Date, each Non-Employee Director will be eligible to receive the following annual cash retainers (the “</w:t>
      </w:r>
      <w:r>
        <w:rPr>
          <w:rFonts w:ascii="Times New Roman" w:cs="Times New Roman" w:eastAsia="Times New Roman" w:hAnsi="Times New Roman"/>
          <w:sz w:val="21"/>
          <w:szCs w:val="21"/>
          <w:b w:val="1"/>
          <w:bCs w:val="1"/>
          <w:i w:val="1"/>
          <w:iCs w:val="1"/>
          <w:color w:val="auto"/>
        </w:rPr>
        <w:t>Retainers</w:t>
      </w:r>
      <w:r>
        <w:rPr>
          <w:rFonts w:ascii="Times New Roman" w:cs="Times New Roman" w:eastAsia="Times New Roman" w:hAnsi="Times New Roman"/>
          <w:sz w:val="21"/>
          <w:szCs w:val="21"/>
          <w:color w:val="auto"/>
        </w:rPr>
        <w:t>”) for service on the Board (as applicable):</w:t>
      </w:r>
    </w:p>
    <w:p>
      <w:pPr>
        <w:spacing w:after="0" w:line="151" w:lineRule="exact"/>
        <w:rPr>
          <w:sz w:val="20"/>
          <w:szCs w:val="20"/>
          <w:color w:val="auto"/>
        </w:rPr>
      </w:pPr>
    </w:p>
    <w:p>
      <w:pPr>
        <w:ind w:left="1280" w:hanging="638"/>
        <w:spacing w:after="0"/>
        <w:tabs>
          <w:tab w:leader="none" w:pos="12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Board Service Retainer</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ind w:left="2080" w:hanging="484"/>
        <w:spacing w:after="0" w:line="248" w:lineRule="auto"/>
        <w:tabs>
          <w:tab w:leader="none" w:pos="206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Eligible Directors: Up to $85,000 as determined by the Board or Compensation Committee from time to time</w:t>
      </w:r>
    </w:p>
    <w:p>
      <w:pPr>
        <w:spacing w:after="0" w:line="1" w:lineRule="exact"/>
        <w:rPr>
          <w:rFonts w:ascii="Times New Roman" w:cs="Times New Roman" w:eastAsia="Times New Roman" w:hAnsi="Times New Roman"/>
          <w:sz w:val="21"/>
          <w:szCs w:val="21"/>
          <w:color w:val="auto"/>
        </w:rPr>
      </w:pPr>
    </w:p>
    <w:p>
      <w:pPr>
        <w:ind w:left="2060" w:hanging="464"/>
        <w:spacing w:after="0" w:line="237" w:lineRule="auto"/>
        <w:tabs>
          <w:tab w:leader="none" w:pos="20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Board: $20,000 (in addition to regular Annual Board Service Retainer)</w:t>
      </w:r>
    </w:p>
    <w:p>
      <w:pPr>
        <w:ind w:left="2080" w:hanging="484"/>
        <w:spacing w:after="0"/>
        <w:tabs>
          <w:tab w:leader="none" w:pos="208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Lead Independent Director: $22,500 (in addition to regular Annual Board Service Retainer)</w:t>
      </w:r>
    </w:p>
    <w:p>
      <w:pPr>
        <w:spacing w:after="0" w:line="207"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Committee Member Service Retainer</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ind w:left="2060" w:hanging="464"/>
        <w:spacing w:after="0"/>
        <w:tabs>
          <w:tab w:leader="none" w:pos="20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Audit Committee: $10,000</w:t>
      </w:r>
    </w:p>
    <w:p>
      <w:pPr>
        <w:spacing w:after="0" w:line="21" w:lineRule="exact"/>
        <w:rPr>
          <w:rFonts w:ascii="Times New Roman" w:cs="Times New Roman" w:eastAsia="Times New Roman" w:hAnsi="Times New Roman"/>
          <w:sz w:val="21"/>
          <w:szCs w:val="21"/>
          <w:color w:val="auto"/>
        </w:rPr>
      </w:pPr>
    </w:p>
    <w:p>
      <w:pPr>
        <w:ind w:left="2060" w:hanging="464"/>
        <w:spacing w:after="0" w:line="237" w:lineRule="auto"/>
        <w:tabs>
          <w:tab w:leader="none" w:pos="20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Compensation Committee: $7,500</w:t>
      </w:r>
    </w:p>
    <w:p>
      <w:pPr>
        <w:ind w:left="2080" w:hanging="484"/>
        <w:spacing w:after="0" w:line="237" w:lineRule="auto"/>
        <w:tabs>
          <w:tab w:leader="none" w:pos="208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Nominating and Governance Committee: $5,000</w:t>
      </w:r>
    </w:p>
    <w:p>
      <w:pPr>
        <w:ind w:left="2060" w:hanging="464"/>
        <w:spacing w:after="0"/>
        <w:tabs>
          <w:tab w:leader="none" w:pos="20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Member of the Strategy Committee: $5,000</w:t>
      </w:r>
    </w:p>
    <w:p>
      <w:pPr>
        <w:spacing w:after="0" w:line="194"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Annual Committee Chair Service Retainer </w:t>
      </w:r>
      <w:r>
        <w:rPr>
          <w:rFonts w:ascii="Times New Roman" w:cs="Times New Roman" w:eastAsia="Times New Roman" w:hAnsi="Times New Roman"/>
          <w:sz w:val="21"/>
          <w:szCs w:val="21"/>
          <w:color w:val="auto"/>
        </w:rPr>
        <w:t>(in lieu of Annual Committee Member Service Retainer).</w:t>
      </w:r>
    </w:p>
    <w:p>
      <w:pPr>
        <w:sectPr>
          <w:pgSz w:w="11900" w:h="16838" w:orient="portrait"/>
          <w:cols w:equalWidth="0" w:num="1">
            <w:col w:w="11240"/>
          </w:cols>
          <w:pgMar w:left="320" w:top="1380" w:right="339" w:bottom="1440" w:gutter="0" w:footer="0" w:header="0"/>
        </w:sectPr>
      </w:pPr>
    </w:p>
    <w:bookmarkStart w:id="65" w:name="page66"/>
    <w:bookmarkEnd w:id="65"/>
    <w:p>
      <w:pPr>
        <w:ind w:left="2060" w:hanging="464"/>
        <w:spacing w:after="0"/>
        <w:tabs>
          <w:tab w:leader="none" w:pos="20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Audit Committee: $22,500</w:t>
      </w:r>
    </w:p>
    <w:p>
      <w:pPr>
        <w:spacing w:after="0" w:line="21" w:lineRule="exact"/>
        <w:rPr>
          <w:rFonts w:ascii="Times New Roman" w:cs="Times New Roman" w:eastAsia="Times New Roman" w:hAnsi="Times New Roman"/>
          <w:sz w:val="21"/>
          <w:szCs w:val="21"/>
          <w:color w:val="auto"/>
        </w:rPr>
      </w:pPr>
    </w:p>
    <w:p>
      <w:pPr>
        <w:ind w:left="2060" w:hanging="464"/>
        <w:spacing w:after="0" w:line="237" w:lineRule="auto"/>
        <w:tabs>
          <w:tab w:leader="none" w:pos="20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Compensation Committee: $17,500</w:t>
      </w:r>
    </w:p>
    <w:p>
      <w:pPr>
        <w:ind w:left="2080" w:hanging="484"/>
        <w:spacing w:after="0" w:line="237" w:lineRule="auto"/>
        <w:tabs>
          <w:tab w:leader="none" w:pos="20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Nominating and Governance Committee: $12,500</w:t>
      </w:r>
    </w:p>
    <w:p>
      <w:pPr>
        <w:ind w:left="2060" w:hanging="464"/>
        <w:spacing w:after="0"/>
        <w:tabs>
          <w:tab w:leader="none" w:pos="20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Chair of the Strategy Committee: $12,500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Equity Compensation</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Commencing on the Effective Date, each eligible Non-Employee Director will be eligible to receive the equity compensation set forth below. Equity awards will be granted under the Company’s 2020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 Company’s Restricted Stock Unit Award Notice and Agreement, in the form adopted from time to time by the Board or Compensation Committee (the “</w:t>
      </w:r>
      <w:r>
        <w:rPr>
          <w:rFonts w:ascii="Times New Roman" w:cs="Times New Roman" w:eastAsia="Times New Roman" w:hAnsi="Times New Roman"/>
          <w:sz w:val="21"/>
          <w:szCs w:val="21"/>
          <w:b w:val="1"/>
          <w:bCs w:val="1"/>
          <w:i w:val="1"/>
          <w:iCs w:val="1"/>
          <w:color w:val="auto"/>
        </w:rPr>
        <w:t>Form of RSU Agreement</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42"/>
        <w:spacing w:after="0"/>
        <w:tabs>
          <w:tab w:leader="none" w:pos="126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Initial Equity Grant</w:t>
      </w:r>
      <w:r>
        <w:rPr>
          <w:rFonts w:ascii="Times New Roman" w:cs="Times New Roman" w:eastAsia="Times New Roman" w:hAnsi="Times New Roman"/>
          <w:sz w:val="21"/>
          <w:szCs w:val="21"/>
          <w:color w:val="auto"/>
        </w:rPr>
        <w:t>. Upon appointment to the Board, and without any further action of the Board or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at the close of business on the day of such appointment, a Non-Employee Director will automatically receive a restricted stock unit (“</w:t>
      </w:r>
      <w:r>
        <w:rPr>
          <w:rFonts w:ascii="Times New Roman" w:cs="Times New Roman" w:eastAsia="Times New Roman" w:hAnsi="Times New Roman"/>
          <w:sz w:val="21"/>
          <w:szCs w:val="21"/>
          <w:b w:val="1"/>
          <w:bCs w:val="1"/>
          <w:i w:val="1"/>
          <w:iCs w:val="1"/>
          <w:color w:val="auto"/>
        </w:rPr>
        <w:t>RSU</w:t>
      </w:r>
      <w:r>
        <w:rPr>
          <w:rFonts w:ascii="Times New Roman" w:cs="Times New Roman" w:eastAsia="Times New Roman" w:hAnsi="Times New Roman"/>
          <w:sz w:val="21"/>
          <w:szCs w:val="21"/>
          <w:color w:val="auto"/>
        </w:rPr>
        <w:t>”) award having a value up to $175,000 (the “</w:t>
      </w:r>
      <w:r>
        <w:rPr>
          <w:rFonts w:ascii="Times New Roman" w:cs="Times New Roman" w:eastAsia="Times New Roman" w:hAnsi="Times New Roman"/>
          <w:sz w:val="21"/>
          <w:szCs w:val="21"/>
          <w:b w:val="1"/>
          <w:bCs w:val="1"/>
          <w:i w:val="1"/>
          <w:iCs w:val="1"/>
          <w:color w:val="auto"/>
        </w:rPr>
        <w:t>Initial RSU</w:t>
      </w:r>
      <w:r>
        <w:rPr>
          <w:rFonts w:ascii="Times New Roman" w:cs="Times New Roman" w:eastAsia="Times New Roman" w:hAnsi="Times New Roman"/>
          <w:sz w:val="21"/>
          <w:szCs w:val="21"/>
          <w:color w:val="auto"/>
        </w:rPr>
        <w:t>”), commensurate with the Periodic Grant (defined below) awarded to the Company’s Non-Employee Directors, prorated from the date of appointment until the date of the next or the applicable Annual Meeting, depending on the date of appointment. Each Initial RSU will vest on the date of the next following Annual Meeting (or the applicable portion on the date of the next following Annual Meeting and applicable portions on the date(s) of the subsequent Annual Meeting(s) following such date, as applicable) or, in each case, the date immediately preceding the date of the applicable Annual Meeting if the Non-Employee Director’s service as a director ends at such meeting as a result of the director’s failure to be re-elected or the director not standing for re-election.</w:t>
      </w:r>
    </w:p>
    <w:p>
      <w:pPr>
        <w:spacing w:after="0" w:line="198" w:lineRule="exact"/>
        <w:rPr>
          <w:rFonts w:ascii="Times New Roman" w:cs="Times New Roman" w:eastAsia="Times New Roman" w:hAnsi="Times New Roman"/>
          <w:sz w:val="21"/>
          <w:szCs w:val="21"/>
          <w:color w:val="auto"/>
        </w:rPr>
      </w:pPr>
    </w:p>
    <w:p>
      <w:pPr>
        <w:jc w:val="both"/>
        <w:ind w:firstLine="642"/>
        <w:spacing w:after="0" w:line="243" w:lineRule="auto"/>
        <w:tabs>
          <w:tab w:leader="none" w:pos="126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Equity Grants</w:t>
      </w:r>
      <w:r>
        <w:rPr>
          <w:rFonts w:ascii="Times New Roman" w:cs="Times New Roman" w:eastAsia="Times New Roman" w:hAnsi="Times New Roman"/>
          <w:sz w:val="21"/>
          <w:szCs w:val="21"/>
          <w:color w:val="auto"/>
        </w:rPr>
        <w:t>. Following the Effective Date, each person who is then a Non-Employee Director,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an RSU grant periodically having a value up to $175,000 (the “</w:t>
      </w:r>
      <w:r>
        <w:rPr>
          <w:rFonts w:ascii="Times New Roman" w:cs="Times New Roman" w:eastAsia="Times New Roman" w:hAnsi="Times New Roman"/>
          <w:sz w:val="21"/>
          <w:szCs w:val="21"/>
          <w:b w:val="1"/>
          <w:bCs w:val="1"/>
          <w:i w:val="1"/>
          <w:iCs w:val="1"/>
          <w:color w:val="auto"/>
        </w:rPr>
        <w:t>Periodic RSU</w:t>
      </w:r>
      <w:r>
        <w:rPr>
          <w:rFonts w:ascii="Times New Roman" w:cs="Times New Roman" w:eastAsia="Times New Roman" w:hAnsi="Times New Roman"/>
          <w:sz w:val="21"/>
          <w:szCs w:val="21"/>
          <w:color w:val="auto"/>
        </w:rPr>
        <w:t>”) granted on the date as determined by the Board or Compensation Committee. The applicable portion of each Periodic RSU will vest on the date of the following year’s Annual Meeting of the Company’s Stockholders (the “</w:t>
      </w:r>
      <w:r>
        <w:rPr>
          <w:rFonts w:ascii="Times New Roman" w:cs="Times New Roman" w:eastAsia="Times New Roman" w:hAnsi="Times New Roman"/>
          <w:sz w:val="21"/>
          <w:szCs w:val="21"/>
          <w:b w:val="1"/>
          <w:bCs w:val="1"/>
          <w:i w:val="1"/>
          <w:iCs w:val="1"/>
          <w:color w:val="auto"/>
        </w:rPr>
        <w:t>Annual Meeting</w:t>
      </w:r>
      <w:r>
        <w:rPr>
          <w:rFonts w:ascii="Times New Roman" w:cs="Times New Roman" w:eastAsia="Times New Roman" w:hAnsi="Times New Roman"/>
          <w:sz w:val="21"/>
          <w:szCs w:val="21"/>
          <w:color w:val="auto"/>
        </w:rPr>
        <w:t>”) and the applicable portion on the date(s) of subsequent Annual Meeting(s) following such grant, as applicable, or, in each case, the date immediately preceding the date of the applicable Annual Meeting if the Non-Employee Director’s service as a director ends at such meeting as a result of the director’s failure to be re-elected or the director not standing for re-election.</w:t>
      </w:r>
    </w:p>
    <w:p>
      <w:pPr>
        <w:spacing w:after="0" w:line="196" w:lineRule="exact"/>
        <w:rPr>
          <w:rFonts w:ascii="Times New Roman" w:cs="Times New Roman" w:eastAsia="Times New Roman" w:hAnsi="Times New Roman"/>
          <w:sz w:val="21"/>
          <w:szCs w:val="21"/>
          <w:color w:val="auto"/>
        </w:rPr>
      </w:pPr>
    </w:p>
    <w:p>
      <w:pPr>
        <w:jc w:val="both"/>
        <w:ind w:firstLine="642"/>
        <w:spacing w:after="0" w:line="243" w:lineRule="auto"/>
        <w:tabs>
          <w:tab w:leader="none" w:pos="126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Vesting; Change of Control</w:t>
      </w:r>
      <w:r>
        <w:rPr>
          <w:rFonts w:ascii="Times New Roman" w:cs="Times New Roman" w:eastAsia="Times New Roman" w:hAnsi="Times New Roman"/>
          <w:sz w:val="21"/>
          <w:szCs w:val="21"/>
          <w:color w:val="auto"/>
        </w:rPr>
        <w:t>. The vesting of each Periodic RSU is subject to the Non-Employee Director’s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Continuous Service (as defined in the Plan) 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Periodic RSU will become fully vested immediately prior to the closing of such Change in Control.</w:t>
      </w:r>
    </w:p>
    <w:p>
      <w:pPr>
        <w:spacing w:after="0" w:line="195" w:lineRule="exact"/>
        <w:rPr>
          <w:rFonts w:ascii="Times New Roman" w:cs="Times New Roman" w:eastAsia="Times New Roman" w:hAnsi="Times New Roman"/>
          <w:sz w:val="21"/>
          <w:szCs w:val="21"/>
          <w:color w:val="auto"/>
        </w:rPr>
      </w:pPr>
    </w:p>
    <w:p>
      <w:pPr>
        <w:ind w:firstLine="642"/>
        <w:spacing w:after="0" w:line="276" w:lineRule="auto"/>
        <w:tabs>
          <w:tab w:leader="none" w:pos="126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Calculation of Value of an RSU Award</w:t>
      </w:r>
      <w:r>
        <w:rPr>
          <w:rFonts w:ascii="Times New Roman" w:cs="Times New Roman" w:eastAsia="Times New Roman" w:hAnsi="Times New Roman"/>
          <w:sz w:val="21"/>
          <w:szCs w:val="21"/>
          <w:color w:val="auto"/>
        </w:rPr>
        <w:t>. Unless otherwise designated at the time of a grant of an RSU award,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of RSUs to be granted under this Director</w:t>
      </w:r>
    </w:p>
    <w:p>
      <w:pPr>
        <w:sectPr>
          <w:pgSz w:w="11900" w:h="16838" w:orient="portrait"/>
          <w:cols w:equalWidth="0" w:num="1">
            <w:col w:w="11240"/>
          </w:cols>
          <w:pgMar w:left="320" w:top="13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1"/>
          <w:szCs w:val="21"/>
          <w:color w:val="auto"/>
        </w:rPr>
        <w:t>Compensation Policy will be determined based on the unweighted average closing price of a share of Common Stock over the thirty</w:t>
      </w:r>
    </w:p>
    <w:p>
      <w:pPr>
        <w:spacing w:after="0" w:line="21" w:lineRule="exact"/>
        <w:rPr>
          <w:sz w:val="20"/>
          <w:szCs w:val="20"/>
          <w:color w:val="auto"/>
        </w:rPr>
      </w:pPr>
    </w:p>
    <w:p>
      <w:pPr>
        <w:ind w:firstLine="6"/>
        <w:spacing w:after="0" w:line="248" w:lineRule="auto"/>
        <w:tabs>
          <w:tab w:leader="none" w:pos="42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consecutive trading day period immediately preceding the date that is five (5) trading days prior to the date of grant of such award.</w:t>
      </w:r>
    </w:p>
    <w:p>
      <w:pPr>
        <w:spacing w:after="0" w:line="188" w:lineRule="exact"/>
        <w:rPr>
          <w:rFonts w:ascii="Times New Roman" w:cs="Times New Roman" w:eastAsia="Times New Roman" w:hAnsi="Times New Roman"/>
          <w:sz w:val="21"/>
          <w:szCs w:val="21"/>
          <w:color w:val="auto"/>
        </w:rPr>
      </w:pPr>
    </w:p>
    <w:p>
      <w:pPr>
        <w:jc w:val="both"/>
        <w:ind w:firstLine="642"/>
        <w:spacing w:after="0" w:line="239" w:lineRule="auto"/>
        <w:tabs>
          <w:tab w:leader="none" w:pos="126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Deferral of RSU Award Vesting</w:t>
      </w:r>
      <w:r>
        <w:rPr>
          <w:rFonts w:ascii="Times New Roman" w:cs="Times New Roman" w:eastAsia="Times New Roman" w:hAnsi="Times New Roman"/>
          <w:sz w:val="21"/>
          <w:szCs w:val="21"/>
          <w:color w:val="auto"/>
        </w:rPr>
        <w:t>. Unless and until otherwise determined by the Board or the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as applicable, each Non-Employee Director may elect to defer the delivery of shares in settlement of any RSU award granted pursuant to this Director Compensation Policy that would otherwise be delivered to such Non-Employee Director on or following the date such RSU award vests pursuant to the terms of this Director Compensation Policy (the “</w:t>
      </w:r>
      <w:r>
        <w:rPr>
          <w:rFonts w:ascii="Times New Roman" w:cs="Times New Roman" w:eastAsia="Times New Roman" w:hAnsi="Times New Roman"/>
          <w:sz w:val="21"/>
          <w:szCs w:val="21"/>
          <w:b w:val="1"/>
          <w:bCs w:val="1"/>
          <w:i w:val="1"/>
          <w:iCs w:val="1"/>
          <w:color w:val="auto"/>
        </w:rPr>
        <w:t>Deferral Election</w:t>
      </w:r>
      <w:r>
        <w:rPr>
          <w:rFonts w:ascii="Times New Roman" w:cs="Times New Roman" w:eastAsia="Times New Roman" w:hAnsi="Times New Roman"/>
          <w:sz w:val="21"/>
          <w:szCs w:val="21"/>
          <w:color w:val="auto"/>
        </w:rPr>
        <w:t>”). Unless otherwise determined by the Board or the Compensation Committee, for any such Deferral Election to be effective, a form of deferral election must be submitted to the Company’s General Counsel (or such other individual as the Company designates) in accordance with and at the time as set forth in the form of deferral election (as approved by the Board or the Compensation Committee).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unless otherwise specifically determined by the Board or the Compensation Committee.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Non-Employee Director Compensation Limit</w:t>
      </w:r>
    </w:p>
    <w:p>
      <w:pPr>
        <w:spacing w:after="0" w:line="24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Ability to Decline Compensation</w:t>
      </w:r>
    </w:p>
    <w:p>
      <w:pPr>
        <w:spacing w:after="0" w:line="240"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21"/>
          <w:szCs w:val="21"/>
          <w:color w:val="auto"/>
        </w:rPr>
        <w:t>A Non-Employee Director may decline all or any portion of his or her compensation under this Director Compensation Policy by giving notice to the Company prior to the date cash is to be paid or equity awards are to be granted, as the case may be.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Expenses</w:t>
      </w:r>
    </w:p>
    <w:p>
      <w:pPr>
        <w:spacing w:after="0" w:line="24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21"/>
          <w:szCs w:val="21"/>
          <w:color w:val="auto"/>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ectPr>
          <w:pgSz w:w="11900" w:h="16838" w:orient="portrait"/>
          <w:cols w:equalWidth="0" w:num="1">
            <w:col w:w="11240"/>
          </w:cols>
          <w:pgMar w:left="320" w:top="138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Alexander Timm, certify that:</w:t>
      </w:r>
    </w:p>
    <w:p>
      <w:pPr>
        <w:spacing w:after="0" w:line="45" w:lineRule="exact"/>
        <w:rPr>
          <w:sz w:val="20"/>
          <w:szCs w:val="20"/>
          <w:color w:val="auto"/>
        </w:rPr>
      </w:pPr>
    </w:p>
    <w:p>
      <w:pPr>
        <w:ind w:left="340" w:hanging="336"/>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44" w:lineRule="exact"/>
        <w:rPr>
          <w:rFonts w:ascii="Times New Roman" w:cs="Times New Roman" w:eastAsia="Times New Roman" w:hAnsi="Times New Roman"/>
          <w:sz w:val="18"/>
          <w:szCs w:val="18"/>
          <w:color w:val="auto"/>
        </w:rPr>
      </w:pPr>
    </w:p>
    <w:p>
      <w:pPr>
        <w:ind w:left="340" w:right="20" w:hanging="336"/>
        <w:spacing w:after="0" w:line="284" w:lineRule="auto"/>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7"/>
          <w:szCs w:val="17"/>
          <w:color w:val="auto"/>
        </w:rPr>
      </w:pPr>
    </w:p>
    <w:p>
      <w:pPr>
        <w:ind w:left="340" w:right="20" w:hanging="336"/>
        <w:spacing w:after="0" w:line="26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right="20" w:hanging="336"/>
        <w:spacing w:after="0" w:line="25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Times New Roman" w:cs="Times New Roman" w:eastAsia="Times New Roman" w:hAnsi="Times New Roman"/>
          <w:sz w:val="18"/>
          <w:szCs w:val="18"/>
          <w:color w:val="auto"/>
        </w:rPr>
      </w:pPr>
    </w:p>
    <w:p>
      <w:pPr>
        <w:jc w:val="both"/>
        <w:ind w:left="720" w:right="20" w:hanging="385"/>
        <w:spacing w:after="0" w:line="252"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 w:lineRule="exact"/>
        <w:rPr>
          <w:rFonts w:ascii="Times New Roman" w:cs="Times New Roman" w:eastAsia="Times New Roman" w:hAnsi="Times New Roman"/>
          <w:sz w:val="18"/>
          <w:szCs w:val="18"/>
          <w:color w:val="auto"/>
        </w:rPr>
      </w:pPr>
    </w:p>
    <w:p>
      <w:pPr>
        <w:jc w:val="both"/>
        <w:ind w:left="720" w:right="20" w:hanging="385"/>
        <w:spacing w:after="0" w:line="252"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Times New Roman" w:cs="Times New Roman" w:eastAsia="Times New Roman" w:hAnsi="Times New Roman"/>
          <w:sz w:val="18"/>
          <w:szCs w:val="18"/>
          <w:color w:val="auto"/>
        </w:rPr>
      </w:pPr>
    </w:p>
    <w:p>
      <w:pPr>
        <w:ind w:left="720" w:right="20" w:hanging="385"/>
        <w:spacing w:after="0" w:line="268"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720" w:right="20" w:hanging="385"/>
        <w:spacing w:after="0" w:line="252"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340" w:right="20" w:hanging="336"/>
        <w:spacing w:after="0" w:line="26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20" w:right="20" w:hanging="385"/>
        <w:spacing w:after="0" w:line="268"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20" w:right="20" w:hanging="385"/>
        <w:spacing w:after="0" w:line="274" w:lineRule="auto"/>
        <w:tabs>
          <w:tab w:leader="none" w:pos="7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tabs>
          <w:tab w:leader="none" w:pos="694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23495</wp:posOffset>
            </wp:positionV>
            <wp:extent cx="2717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3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Alexander Timm</w:t>
      </w:r>
    </w:p>
    <w:p>
      <w:pPr>
        <w:spacing w:after="0" w:line="4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0"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39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Megan Binkley, certify that:</w:t>
      </w:r>
    </w:p>
    <w:p>
      <w:pPr>
        <w:spacing w:after="0" w:line="111" w:lineRule="exact"/>
        <w:rPr>
          <w:sz w:val="20"/>
          <w:szCs w:val="20"/>
          <w:color w:val="auto"/>
        </w:rPr>
      </w:pPr>
    </w:p>
    <w:p>
      <w:pPr>
        <w:ind w:left="340" w:hanging="337"/>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Root, Inc.;</w:t>
      </w:r>
    </w:p>
    <w:p>
      <w:pPr>
        <w:spacing w:after="0" w:line="4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11" w:lineRule="exact"/>
        <w:rPr>
          <w:rFonts w:ascii="Times New Roman" w:cs="Times New Roman" w:eastAsia="Times New Roman" w:hAnsi="Times New Roman"/>
          <w:sz w:val="18"/>
          <w:szCs w:val="18"/>
          <w:color w:val="auto"/>
        </w:rPr>
      </w:pPr>
    </w:p>
    <w:p>
      <w:pPr>
        <w:ind w:left="340" w:right="20" w:hanging="337"/>
        <w:spacing w:after="0" w:line="189" w:lineRule="auto"/>
        <w:tabs>
          <w:tab w:leader="none" w:pos="340" w:val="left"/>
        </w:tabs>
        <w:numPr>
          <w:ilvl w:val="0"/>
          <w:numId w:val="4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statements made, in light of the circumstances under which such statements were made, not misleading with respect to the period covered by this report; Based on my knowledge, the financial statements, and other financial information included in this report, fairly present in all material respects the</w:t>
      </w:r>
    </w:p>
    <w:p>
      <w:pPr>
        <w:spacing w:after="0" w:line="1" w:lineRule="exact"/>
        <w:rPr>
          <w:rFonts w:ascii="Times New Roman" w:cs="Times New Roman" w:eastAsia="Times New Roman" w:hAnsi="Times New Roman"/>
          <w:sz w:val="34"/>
          <w:szCs w:val="34"/>
          <w:color w:val="auto"/>
          <w:vertAlign w:val="superscript"/>
        </w:rPr>
      </w:pPr>
    </w:p>
    <w:p>
      <w:pPr>
        <w:ind w:left="340" w:hanging="337"/>
        <w:spacing w:after="0" w:line="183" w:lineRule="auto"/>
        <w:tabs>
          <w:tab w:leader="none" w:pos="34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24"/>
          <w:szCs w:val="24"/>
          <w:color w:val="auto"/>
          <w:vertAlign w:val="superscript"/>
        </w:rPr>
      </w:pPr>
    </w:p>
    <w:p>
      <w:pPr>
        <w:ind w:left="340"/>
        <w:spacing w:after="0" w:line="23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ind w:left="340" w:right="20" w:hanging="337"/>
        <w:spacing w:after="0" w:line="250"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2" w:lineRule="exact"/>
        <w:rPr>
          <w:rFonts w:ascii="Times New Roman" w:cs="Times New Roman" w:eastAsia="Times New Roman" w:hAnsi="Times New Roman"/>
          <w:sz w:val="18"/>
          <w:szCs w:val="18"/>
          <w:color w:val="auto"/>
        </w:rPr>
      </w:pPr>
    </w:p>
    <w:p>
      <w:pPr>
        <w:jc w:val="both"/>
        <w:ind w:left="720" w:right="20" w:hanging="385"/>
        <w:spacing w:after="0" w:line="252" w:lineRule="auto"/>
        <w:tabs>
          <w:tab w:leader="none" w:pos="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 w:lineRule="exact"/>
        <w:rPr>
          <w:rFonts w:ascii="Times New Roman" w:cs="Times New Roman" w:eastAsia="Times New Roman" w:hAnsi="Times New Roman"/>
          <w:sz w:val="18"/>
          <w:szCs w:val="18"/>
          <w:color w:val="auto"/>
        </w:rPr>
      </w:pPr>
    </w:p>
    <w:p>
      <w:pPr>
        <w:jc w:val="both"/>
        <w:ind w:left="720" w:right="20" w:hanging="385"/>
        <w:spacing w:after="0" w:line="252" w:lineRule="auto"/>
        <w:tabs>
          <w:tab w:leader="none" w:pos="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Times New Roman" w:cs="Times New Roman" w:eastAsia="Times New Roman" w:hAnsi="Times New Roman"/>
          <w:sz w:val="18"/>
          <w:szCs w:val="18"/>
          <w:color w:val="auto"/>
        </w:rPr>
      </w:pPr>
    </w:p>
    <w:p>
      <w:pPr>
        <w:ind w:left="720" w:right="20" w:hanging="385"/>
        <w:spacing w:after="0" w:line="258" w:lineRule="auto"/>
        <w:tabs>
          <w:tab w:leader="none" w:pos="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8"/>
          <w:szCs w:val="18"/>
          <w:color w:val="auto"/>
        </w:rPr>
      </w:pPr>
    </w:p>
    <w:p>
      <w:pPr>
        <w:jc w:val="both"/>
        <w:ind w:left="720" w:right="20" w:hanging="385"/>
        <w:spacing w:after="0" w:line="252" w:lineRule="auto"/>
        <w:tabs>
          <w:tab w:leader="none" w:pos="7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spacing w:after="0" w:line="189" w:lineRule="auto"/>
        <w:rPr>
          <w:sz w:val="20"/>
          <w:szCs w:val="20"/>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w:t>
      </w:r>
    </w:p>
    <w:p>
      <w:pPr>
        <w:ind w:left="340" w:hanging="337"/>
        <w:spacing w:after="0" w:line="181" w:lineRule="auto"/>
        <w:tabs>
          <w:tab w:leader="none" w:pos="340" w:val="left"/>
        </w:tabs>
        <w:numPr>
          <w:ilvl w:val="0"/>
          <w:numId w:val="4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35"/>
          <w:szCs w:val="35"/>
          <w:color w:val="auto"/>
          <w:vertAlign w:val="superscript"/>
        </w:rPr>
      </w:pPr>
    </w:p>
    <w:p>
      <w:pPr>
        <w:ind w:left="720" w:right="20" w:hanging="385"/>
        <w:spacing w:after="0" w:line="237" w:lineRule="auto"/>
        <w:tabs>
          <w:tab w:leader="none" w:pos="7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8"/>
          <w:szCs w:val="18"/>
          <w:color w:val="auto"/>
        </w:rPr>
      </w:pPr>
    </w:p>
    <w:p>
      <w:pPr>
        <w:ind w:left="720" w:right="20" w:hanging="385"/>
        <w:spacing w:after="0" w:line="258" w:lineRule="auto"/>
        <w:tabs>
          <w:tab w:leader="none" w:pos="7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spacing w:after="0"/>
        <w:tabs>
          <w:tab w:leader="none" w:pos="720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7"/>
          <w:szCs w:val="17"/>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23495</wp:posOffset>
            </wp:positionV>
            <wp:extent cx="2549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Megan Binkley</w:t>
      </w:r>
    </w:p>
    <w:p>
      <w:pPr>
        <w:spacing w:after="0" w:line="4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20"/>
          </w:cols>
          <w:pgMar w:left="340" w:top="139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4"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spacing w:after="0" w:line="257" w:lineRule="exact"/>
        <w:rPr>
          <w:sz w:val="20"/>
          <w:szCs w:val="20"/>
          <w:color w:val="auto"/>
        </w:rPr>
      </w:pPr>
    </w:p>
    <w:p>
      <w:pPr>
        <w:ind w:left="20" w:right="180" w:firstLine="332"/>
        <w:spacing w:after="0" w:line="190" w:lineRule="auto"/>
        <w:rPr>
          <w:sz w:val="20"/>
          <w:szCs w:val="20"/>
          <w:color w:val="auto"/>
        </w:rPr>
      </w:pPr>
      <w:r>
        <w:rPr>
          <w:rFonts w:ascii="Times New Roman" w:cs="Times New Roman" w:eastAsia="Times New Roman" w:hAnsi="Times New Roman"/>
          <w:sz w:val="18"/>
          <w:szCs w:val="18"/>
          <w:color w:val="auto"/>
        </w:rPr>
        <w:t xml:space="preserve">The Company’s Quarterly Report on Form 10-Q for the period ended June 30, 2025 to which this certification is attached as Exhibit 32.1 (the “Periodic </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18"/>
          <w:szCs w:val="18"/>
          <w:color w:val="auto"/>
        </w:rPr>
        <w:t xml:space="preserve"> Report”), fully complies with the requirements of Section 13(a) or Section 15(d) of the Exchange Act; and</w:t>
      </w:r>
    </w:p>
    <w:p>
      <w:pPr>
        <w:spacing w:after="0" w:line="1"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7"/>
          <w:szCs w:val="17"/>
          <w:color w:val="auto"/>
        </w:rPr>
        <w:t>2.</w:t>
        <w:tab/>
        <w:t>The information contained in the Periodic Report fairly presents, in all material respects, the financial condition and results of operations of the Company.</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8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14605</wp:posOffset>
            </wp:positionV>
            <wp:extent cx="2263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Alexander Timm</w:t>
      </w:r>
    </w:p>
    <w:p>
      <w:pPr>
        <w:spacing w:after="0" w:line="4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14605</wp:posOffset>
            </wp:positionV>
            <wp:extent cx="2263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Megan Binkley</w:t>
      </w:r>
    </w:p>
    <w:p>
      <w:pPr>
        <w:spacing w:after="0" w:line="4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2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of this Quarterly Report on Form 10-Q, irrespective of any general incorporation language contained in any such filing.</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decimal"/>
      <w:start w:val="7"/>
    </w:lvl>
  </w:abstractNum>
  <w:abstractNum w:abstractNumId="12">
    <w:nsid w:val="8138641"/>
    <w:multiLevelType w:val="hybridMultilevel"/>
    <w:lvl w:ilvl="0">
      <w:lvlJc w:val="left"/>
      <w:lvlText w:val="%1."/>
      <w:numFmt w:val="decimal"/>
      <w:start w:val="8"/>
    </w:lvl>
  </w:abstractNum>
  <w:abstractNum w:abstractNumId="13">
    <w:nsid w:val="1E7FF521"/>
    <w:multiLevelType w:val="hybridMultilevel"/>
    <w:lvl w:ilvl="0">
      <w:lvlJc w:val="left"/>
      <w:lvlText w:val="%1."/>
      <w:numFmt w:val="decimal"/>
      <w:start w:val="9"/>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1."/>
      <w:numFmt w:val="decimal"/>
      <w:start w:val="1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2"/>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lvl w:ilvl="1">
      <w:lvlJc w:val="left"/>
      <w:lvlText w:val="(%2)"/>
      <w:numFmt w:val="lowerLetter"/>
      <w:start w:val="1"/>
    </w:lvl>
  </w:abstractNum>
  <w:abstractNum w:abstractNumId="21">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2">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3">
    <w:nsid w:val="440BADFC"/>
    <w:multiLevelType w:val="hybridMultilevel"/>
    <w:lvl w:ilvl="0">
      <w:lvlJc w:val="left"/>
      <w:lvlText w:val="%1"/>
      <w:numFmt w:val="decimal"/>
      <w:start w:val="1"/>
    </w:lvl>
    <w:lvl w:ilvl="1">
      <w:lvlJc w:val="left"/>
      <w:lvlText w:val="(%2)"/>
      <w:numFmt w:val="lowerRoman"/>
      <w:start w:val="2"/>
    </w:lvl>
  </w:abstractNum>
  <w:abstractNum w:abstractNumId="24">
    <w:nsid w:val="5072367"/>
    <w:multiLevelType w:val="hybridMultilevel"/>
    <w:lvl w:ilvl="0">
      <w:lvlJc w:val="left"/>
      <w:lvlText w:val="%1."/>
      <w:numFmt w:val="decimal"/>
      <w:start w:val="6"/>
    </w:lvl>
    <w:lvl w:ilvl="1">
      <w:lvlJc w:val="left"/>
      <w:lvlText w:val="%2"/>
      <w:numFmt w:val="lowerRoman"/>
      <w:start w:val="1"/>
    </w:lvl>
  </w:abstractNum>
  <w:abstractNum w:abstractNumId="25">
    <w:nsid w:val="3804823E"/>
    <w:multiLevelType w:val="hybridMultilevel"/>
    <w:lvl w:ilvl="0">
      <w:lvlJc w:val="left"/>
      <w:lvlText w:val="%1."/>
      <w:numFmt w:val="decimal"/>
      <w:start w:val="1"/>
    </w:lvl>
    <w:lvl w:ilvl="1">
      <w:lvlJc w:val="left"/>
      <w:lvlText w:val="(%2)"/>
      <w:numFmt w:val="lowerLetter"/>
      <w:start w:val="1"/>
    </w:lvl>
  </w:abstractNum>
  <w:abstractNum w:abstractNumId="26">
    <w:nsid w:val="77465F01"/>
    <w:multiLevelType w:val="hybridMultilevel"/>
    <w:lvl w:ilvl="0">
      <w:lvlJc w:val="left"/>
      <w:lvlText w:val="%1"/>
      <w:numFmt w:val="decimal"/>
      <w:start w:val="1"/>
    </w:lvl>
    <w:lvl w:ilvl="1">
      <w:lvlJc w:val="left"/>
      <w:lvlText w:val="(%2)"/>
      <w:numFmt w:val="lowerRoman"/>
      <w:start w:val="1"/>
    </w:lvl>
  </w:abstractNum>
  <w:abstractNum w:abstractNumId="27">
    <w:nsid w:val="7724C67E"/>
    <w:multiLevelType w:val="hybridMultilevel"/>
    <w:lvl w:ilvl="0">
      <w:lvlJc w:val="left"/>
      <w:lvlText w:val="%1."/>
      <w:numFmt w:val="decimal"/>
      <w:start w:val="3"/>
    </w:lvl>
    <w:lvl w:ilvl="1">
      <w:lvlJc w:val="left"/>
      <w:lvlText w:val="%2"/>
      <w:numFmt w:val="lowerRoman"/>
      <w:start w:val="1"/>
    </w:lvl>
  </w:abstractNum>
  <w:abstractNum w:abstractNumId="28">
    <w:nsid w:val="5C482A97"/>
    <w:multiLevelType w:val="hybridMultilevel"/>
    <w:lvl w:ilvl="0">
      <w:lvlJc w:val="left"/>
      <w:lvlText w:val="%1."/>
      <w:numFmt w:val="decimal"/>
      <w:start w:val="4"/>
    </w:lvl>
    <w:lvl w:ilvl="1">
      <w:lvlJc w:val="left"/>
      <w:lvlText w:val="(%2)"/>
      <w:numFmt w:val="lowerLetter"/>
      <w:start w:val="1"/>
    </w:lvl>
  </w:abstractNum>
  <w:abstractNum w:abstractNumId="29">
    <w:nsid w:val="2463B9EA"/>
    <w:multiLevelType w:val="hybridMultilevel"/>
    <w:lvl w:ilvl="0">
      <w:lvlJc w:val="left"/>
      <w:lvlText w:val="%1."/>
      <w:numFmt w:val="decimal"/>
      <w:start w:val="1"/>
    </w:lvl>
    <w:lvl w:ilvl="1">
      <w:lvlJc w:val="left"/>
      <w:lvlText w:val="(%2)"/>
      <w:numFmt w:val="lowerLetter"/>
      <w:start w:val="1"/>
    </w:lvl>
  </w:abstractNum>
  <w:abstractNum w:abstractNumId="30">
    <w:nsid w:val="5E884ADC"/>
    <w:multiLevelType w:val="hybridMultilevel"/>
    <w:lvl w:ilvl="0">
      <w:lvlJc w:val="left"/>
      <w:lvlText w:val="(%1)"/>
      <w:numFmt w:val="lowerLetter"/>
      <w:start w:val="2"/>
    </w:lvl>
  </w:abstractNum>
  <w:abstractNum w:abstractNumId="31">
    <w:nsid w:val="51EAD36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2">
    <w:nsid w:val="2D5177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3">
    <w:nsid w:val="580BD78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4">
    <w:nsid w:val="153EA438"/>
    <w:multiLevelType w:val="hybridMultilevel"/>
    <w:lvl w:ilvl="0">
      <w:lvlJc w:val="left"/>
      <w:lvlText w:val="(%1)"/>
      <w:numFmt w:val="upperLetter"/>
      <w:start w:val="3"/>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5">
    <w:nsid w:val="3855585C"/>
    <w:multiLevelType w:val="hybridMultilevel"/>
    <w:lvl w:ilvl="0">
      <w:lvlJc w:val="left"/>
      <w:lvlText w:val="%1."/>
      <w:numFmt w:val="decimal"/>
      <w:start w:val="10"/>
    </w:lvl>
  </w:abstractNum>
  <w:abstractNum w:abstractNumId="36">
    <w:nsid w:val="70A64E2A"/>
    <w:multiLevelType w:val="hybridMultilevel"/>
    <w:lvl w:ilvl="0">
      <w:lvlJc w:val="left"/>
      <w:lvlText w:val="%1."/>
      <w:numFmt w:val="decimal"/>
      <w:start w:val="1"/>
    </w:lvl>
    <w:lvl w:ilvl="1">
      <w:lvlJc w:val="left"/>
      <w:lvlText w:val="(%2)"/>
      <w:numFmt w:val="lowerLetter"/>
      <w:start w:val="1"/>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9">
    <w:nsid w:val="1D4ED43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40">
    <w:nsid w:val="725A06FB"/>
    <w:multiLevelType w:val="hybridMultilevel"/>
    <w:lvl w:ilvl="0">
      <w:lvlJc w:val="left"/>
      <w:lvlText w:val="(%1)"/>
      <w:numFmt w:val="lowerLetter"/>
      <w:start w:val="1"/>
    </w:lvl>
    <w:lvl w:ilvl="1">
      <w:lvlJc w:val="left"/>
      <w:lvlText w:val="(%2)"/>
      <w:numFmt w:val="lowerRoman"/>
      <w:start w:val="1"/>
    </w:lvl>
  </w:abstractNum>
  <w:abstractNum w:abstractNumId="41">
    <w:nsid w:val="2CD89A32"/>
    <w:multiLevelType w:val="hybridMultilevel"/>
    <w:lvl w:ilvl="0">
      <w:lvlJc w:val="left"/>
      <w:lvlText w:val="(%1)"/>
      <w:numFmt w:val="lowerRoman"/>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30"/>
    </w:lvl>
    <w:lvl w:ilvl="1">
      <w:lvlJc w:val="left"/>
      <w:lvlText w:val="(%2)"/>
      <w:numFmt w:val="lowerLetter"/>
      <w:start w:val="5"/>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80" Type="http://schemas.openxmlformats.org/officeDocument/2006/relationships/hyperlink" Target="https://www.sec.gov/Archives/edgar/data/0001788882/000162828020015173/exhibit31-8xkxamendeda.htm" TargetMode="External"/><Relationship Id="rId81" Type="http://schemas.openxmlformats.org/officeDocument/2006/relationships/hyperlink" Target="https://www.sec.gov/Archives/edgar/data/1788882/000178888222000026/a31rootcharteramendment.htm" TargetMode="External"/><Relationship Id="rId82" Type="http://schemas.openxmlformats.org/officeDocument/2006/relationships/hyperlink" Target="https://www.sec.gov/Archives/edgar/data/1788882/000162828023004580/a33amendedandrestatedbylaws.htm" TargetMode="External"/><Relationship Id="rId83" Type="http://schemas.openxmlformats.org/officeDocument/2006/relationships/hyperlink" Target="https://www.sec.gov/Archives/edgar/data/0001788882/000119312521289291/d236036dex31.htm" TargetMode="External"/><Relationship Id="rId84" Type="http://schemas.openxmlformats.org/officeDocument/2006/relationships/hyperlink" Target="https://www.sec.gov/Archives/edgar/data/1788882/000162828020014581/exhibit41-sx1a1xformof.htm" TargetMode="External"/><Relationship Id="rId85" Type="http://schemas.openxmlformats.org/officeDocument/2006/relationships/hyperlink" Target="https://www.sec.gov/Archives/edgar/data/0001788882/000119312521289291/d236036dex41.htm" TargetMode="External"/><Relationship Id="rId86" Type="http://schemas.openxmlformats.org/officeDocument/2006/relationships/hyperlink" Target="https://www.sec.gov/Archives/edgar/data/1788882/000119312522018949/d295910dex41.htm" TargetMode="External"/><Relationship Id="rId87" Type="http://schemas.openxmlformats.org/officeDocument/2006/relationships/hyperlink" Target="https://www.sec.gov/Archives/edgar/data/1788882/000162828024044321/a45firstamendmenttoformof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2025-08-06T15:22:43Z</dcterms:created>
  <dcterms:modified xsi:type="dcterms:W3CDTF">2025-08-06T15:22:43Z</dcterms:modified>
</cp:coreProperties>
</file>