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48895</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5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62" w:lineRule="exact"/>
        <w:rPr>
          <w:sz w:val="24"/>
          <w:szCs w:val="24"/>
          <w:color w:val="auto"/>
        </w:rPr>
      </w:pPr>
    </w:p>
    <w:p>
      <w:pPr>
        <w:jc w:val="center"/>
        <w:ind w:left="4080" w:right="1500" w:hanging="2589"/>
        <w:spacing w:after="0" w:line="253" w:lineRule="auto"/>
        <w:tabs>
          <w:tab w:leader="none" w:pos="16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jc w:val="center"/>
        <w:ind w:right="20"/>
        <w:spacing w:after="0" w:line="235" w:lineRule="auto"/>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jc w:val="center"/>
        <w:ind w:left="3580" w:right="1500" w:hanging="2095"/>
        <w:spacing w:after="0" w:line="568" w:lineRule="auto"/>
        <w:tabs>
          <w:tab w:leader="none" w:pos="167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001-39658</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ROOT, INC.</w:t>
      </w:r>
    </w:p>
    <w:p>
      <w:pPr>
        <w:sectPr>
          <w:pgSz w:w="11900" w:h="16838" w:orient="portrait"/>
          <w:cols w:equalWidth="0" w:num="1">
            <w:col w:w="11260"/>
          </w:cols>
          <w:pgMar w:left="320" w:top="898" w:right="319" w:bottom="1440" w:gutter="0" w:footer="0" w:header="0"/>
        </w:sectPr>
      </w:pPr>
    </w:p>
    <w:p>
      <w:pPr>
        <w:spacing w:after="0" w:line="3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55880</wp:posOffset>
            </wp:positionV>
            <wp:extent cx="1463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Delaware</w:t>
      </w:r>
    </w:p>
    <w:p>
      <w:pPr>
        <w:spacing w:after="0" w:line="5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(State or other jurisdiction of</w:t>
      </w:r>
    </w:p>
    <w:p>
      <w:pPr>
        <w:spacing w:after="0" w:line="14" w:lineRule="exact"/>
        <w:rPr>
          <w:sz w:val="24"/>
          <w:szCs w:val="24"/>
          <w:color w:val="auto"/>
        </w:rPr>
      </w:pPr>
    </w:p>
    <w:p>
      <w:pPr>
        <w:ind w:left="960"/>
        <w:spacing w:after="0"/>
        <w:rPr>
          <w:sz w:val="20"/>
          <w:szCs w:val="20"/>
          <w:color w:val="auto"/>
        </w:rPr>
      </w:pPr>
      <w:r>
        <w:rPr>
          <w:rFonts w:ascii="Arial" w:cs="Arial" w:eastAsia="Arial" w:hAnsi="Arial"/>
          <w:sz w:val="14"/>
          <w:szCs w:val="14"/>
          <w:b w:val="1"/>
          <w:bCs w:val="1"/>
          <w:color w:val="auto"/>
        </w:rPr>
        <w:t>incorporation or organization)</w:t>
      </w:r>
    </w:p>
    <w:p>
      <w:pPr>
        <w:spacing w:after="0" w:line="3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80 E. Rich Street, Suite 500</w:t>
      </w:r>
    </w:p>
    <w:p>
      <w:pPr>
        <w:spacing w:after="0" w:line="14"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Columbus, Ohio</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1" w:lineRule="exact"/>
        <w:rPr>
          <w:sz w:val="24"/>
          <w:szCs w:val="24"/>
          <w:color w:val="auto"/>
        </w:rPr>
      </w:pPr>
    </w:p>
    <w:p>
      <w:pPr>
        <w:jc w:val="center"/>
        <w:ind w:left="3320"/>
        <w:spacing w:after="0"/>
        <w:rPr>
          <w:sz w:val="20"/>
          <w:szCs w:val="20"/>
          <w:color w:val="auto"/>
        </w:rPr>
      </w:pPr>
      <w:r>
        <w:rPr>
          <w:rFonts w:ascii="Arial" w:cs="Arial" w:eastAsia="Arial" w:hAnsi="Arial"/>
          <w:sz w:val="18"/>
          <w:szCs w:val="18"/>
          <w:b w:val="1"/>
          <w:bCs w:val="1"/>
          <w:color w:val="auto"/>
        </w:rPr>
        <w:t>(866) 980-9431</w:t>
      </w:r>
    </w:p>
    <w:p>
      <w:pPr>
        <w:spacing w:after="0" w:line="22" w:lineRule="exact"/>
        <w:rPr>
          <w:sz w:val="24"/>
          <w:szCs w:val="24"/>
          <w:color w:val="auto"/>
        </w:rPr>
      </w:pPr>
    </w:p>
    <w:p>
      <w:pPr>
        <w:jc w:val="center"/>
        <w:ind w:left="33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84-2717903</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(I.R.S. Employer</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Identification Number)</w:t>
      </w:r>
    </w:p>
    <w:p>
      <w:pPr>
        <w:spacing w:after="0" w:line="126"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43215</w:t>
      </w:r>
    </w:p>
    <w:p>
      <w:pPr>
        <w:spacing w:after="0" w:line="13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(Zip Code)</w:t>
      </w:r>
    </w:p>
    <w:p>
      <w:pPr>
        <w:spacing w:after="0" w:line="704" w:lineRule="exact"/>
        <w:rPr>
          <w:sz w:val="24"/>
          <w:szCs w:val="24"/>
          <w:color w:val="auto"/>
        </w:rPr>
      </w:pPr>
    </w:p>
    <w:p>
      <w:pPr>
        <w:sectPr>
          <w:pgSz w:w="11900" w:h="16838" w:orient="portrait"/>
          <w:cols w:equalWidth="0" w:num="2">
            <w:col w:w="7940" w:space="720"/>
            <w:col w:w="2600"/>
          </w:cols>
          <w:pgMar w:left="320" w:top="898"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54610</wp:posOffset>
            </wp:positionV>
            <wp:extent cx="1463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16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ROOT</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18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$0.0001 par value per share</w:t>
            </w:r>
          </w:p>
        </w:tc>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133" w:lineRule="exact"/>
        <w:rPr>
          <w:sz w:val="24"/>
          <w:szCs w:val="24"/>
          <w:color w:val="auto"/>
        </w:rPr>
      </w:pPr>
    </w:p>
    <w:p>
      <w:pPr>
        <w:ind w:right="20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7" w:lineRule="exact"/>
        <w:rPr>
          <w:sz w:val="24"/>
          <w:szCs w:val="24"/>
          <w:color w:val="auto"/>
        </w:rPr>
      </w:pPr>
    </w:p>
    <w:p>
      <w:pPr>
        <w:ind w:right="14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0"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51"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01" w:lineRule="exact"/>
        <w:rPr>
          <w:sz w:val="24"/>
          <w:szCs w:val="24"/>
          <w:color w:val="auto"/>
        </w:rPr>
      </w:pPr>
    </w:p>
    <w:p>
      <w:pPr>
        <w:ind w:right="480" w:firstLine="318"/>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right="60" w:firstLine="318"/>
        <w:spacing w:after="0" w:line="264" w:lineRule="auto"/>
        <w:rPr>
          <w:sz w:val="20"/>
          <w:szCs w:val="20"/>
          <w:color w:val="auto"/>
        </w:rPr>
      </w:pPr>
      <w:r>
        <w:rPr>
          <w:rFonts w:ascii="Arial" w:cs="Arial" w:eastAsia="Arial" w:hAnsi="Arial"/>
          <w:sz w:val="18"/>
          <w:szCs w:val="18"/>
          <w:color w:val="auto"/>
        </w:rPr>
        <w:t>As of August 1, 2022, the number of outstanding shares of the registrant’s Class A common stock, par value $0.0001 per share, was 161.2 million and the number of outstanding shares of the registrant’s Class B common stock, par value $0.0001 per share, was 93.8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446405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898" w:right="319" w:bottom="1440" w:gutter="0" w:footer="0" w:header="0"/>
          <w:type w:val="continuous"/>
        </w:sectPr>
      </w:pPr>
    </w:p>
    <w:bookmarkStart w:id="1" w:name="page2"/>
    <w:bookmarkEnd w:id="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6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60" w:type="dxa"/>
            <w:vAlign w:val="bottom"/>
            <w:gridSpan w:val="25"/>
          </w:tcPr>
          <w:p>
            <w:pPr>
              <w:spacing w:after="0" w:line="167"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8"/>
          </w:tcPr>
          <w:p>
            <w:pPr>
              <w:jc w:val="center"/>
              <w:spacing w:after="0"/>
              <w:rPr>
                <w:rFonts w:ascii="Arial" w:cs="Arial" w:eastAsia="Arial" w:hAnsi="Arial"/>
                <w:sz w:val="18"/>
                <w:szCs w:val="18"/>
                <w:b w:val="1"/>
                <w:bCs w:val="1"/>
                <w:color w:val="0000FF"/>
                <w:w w:val="93"/>
              </w:rPr>
            </w:pPr>
            <w:hyperlink w:anchor="page4">
              <w:r>
                <w:rPr>
                  <w:rFonts w:ascii="Arial" w:cs="Arial" w:eastAsia="Arial" w:hAnsi="Arial"/>
                  <w:sz w:val="18"/>
                  <w:szCs w:val="18"/>
                  <w:b w:val="1"/>
                  <w:bCs w:val="1"/>
                  <w:color w:val="0000FF"/>
                  <w:w w:val="93"/>
                </w:rPr>
                <w:t>Part I. Financial Information</w:t>
              </w:r>
            </w:hyperlink>
          </w:p>
        </w:tc>
        <w:tc>
          <w:tcPr>
            <w:tcW w:w="3440" w:type="dxa"/>
            <w:vAlign w:val="bottom"/>
            <w:gridSpan w:val="4"/>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gridSpan w:val="21"/>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Redeemable Convertible Preferred Stock and Stockholders’ Equity - Unaudited</w:t>
              </w:r>
            </w:hyperlink>
          </w:p>
        </w:tc>
        <w:tc>
          <w:tcPr>
            <w:tcW w:w="96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120" w:type="dxa"/>
            <w:vAlign w:val="bottom"/>
            <w:gridSpan w:val="20"/>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 Unaudited</w:t>
              </w:r>
            </w:hyperlink>
          </w:p>
        </w:tc>
        <w:tc>
          <w:tcPr>
            <w:tcW w:w="96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24">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Management's Discussion and Analysis of Financial Condition and Results of Operations</w:t>
              </w:r>
            </w:hyperlink>
          </w:p>
        </w:tc>
        <w:tc>
          <w:tcPr>
            <w:tcW w:w="27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21</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tcBorders>
              <w:bottom w:val="single" w:sz="8" w:color="0000FF"/>
            </w:tcBorders>
            <w:gridSpan w:val="13"/>
          </w:tcPr>
          <w:p>
            <w:pPr>
              <w:spacing w:after="0" w:line="205"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Quantitative and Qualitative Disclosures About Market Risk</w:t>
              </w:r>
            </w:hyperlink>
          </w:p>
        </w:tc>
        <w:tc>
          <w:tcPr>
            <w:tcW w:w="48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4">
              <w:r>
                <w:rPr>
                  <w:rFonts w:ascii="Arial" w:cs="Arial" w:eastAsia="Arial" w:hAnsi="Arial"/>
                  <w:sz w:val="15"/>
                  <w:szCs w:val="15"/>
                  <w:color w:val="0000FF"/>
                  <w:w w:val="71"/>
                </w:rPr>
                <w:t>41</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bottom w:val="single" w:sz="8" w:color="0000FF"/>
            </w:tcBorders>
            <w:gridSpan w:val="6"/>
          </w:tcPr>
          <w:p>
            <w:pPr>
              <w:spacing w:after="0" w:line="205" w:lineRule="exact"/>
              <w:rPr>
                <w:rFonts w:ascii="Arial" w:cs="Arial" w:eastAsia="Arial" w:hAnsi="Arial"/>
                <w:sz w:val="18"/>
                <w:szCs w:val="18"/>
                <w:color w:val="0000FF"/>
                <w:w w:val="86"/>
              </w:rPr>
            </w:pPr>
            <w:hyperlink w:anchor="page45">
              <w:r>
                <w:rPr>
                  <w:rFonts w:ascii="Arial" w:cs="Arial" w:eastAsia="Arial" w:hAnsi="Arial"/>
                  <w:sz w:val="18"/>
                  <w:szCs w:val="18"/>
                  <w:color w:val="0000FF"/>
                  <w:w w:val="86"/>
                </w:rPr>
                <w:t>Controls and Procedures</w:t>
              </w:r>
            </w:hyperlink>
          </w:p>
        </w:tc>
        <w:tc>
          <w:tcPr>
            <w:tcW w:w="73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5">
              <w:r>
                <w:rPr>
                  <w:rFonts w:ascii="Arial" w:cs="Arial" w:eastAsia="Arial" w:hAnsi="Arial"/>
                  <w:sz w:val="15"/>
                  <w:szCs w:val="15"/>
                  <w:color w:val="0000FF"/>
                  <w:w w:val="71"/>
                </w:rPr>
                <w:t>42</w:t>
              </w:r>
            </w:hyperlink>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5"/>
              </w:rPr>
            </w:pPr>
            <w:hyperlink w:anchor="page46">
              <w:r>
                <w:rPr>
                  <w:rFonts w:ascii="Arial" w:cs="Arial" w:eastAsia="Arial" w:hAnsi="Arial"/>
                  <w:sz w:val="18"/>
                  <w:szCs w:val="18"/>
                  <w:b w:val="1"/>
                  <w:bCs w:val="1"/>
                  <w:color w:val="0000FF"/>
                  <w:w w:val="95"/>
                </w:rPr>
                <w:t>Part II. Other Information</w:t>
              </w:r>
            </w:hyperlink>
          </w:p>
        </w:tc>
        <w:tc>
          <w:tcPr>
            <w:tcW w:w="35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6">
              <w:r>
                <w:rPr>
                  <w:rFonts w:ascii="Arial" w:cs="Arial" w:eastAsia="Arial" w:hAnsi="Arial"/>
                  <w:sz w:val="15"/>
                  <w:szCs w:val="15"/>
                  <w:color w:val="0000FF"/>
                  <w:w w:val="71"/>
                </w:rPr>
                <w:t>43</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320" w:type="dxa"/>
            <w:vAlign w:val="bottom"/>
            <w:gridSpan w:val="2"/>
            <w:vMerge w:val="restart"/>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1A.</w:t>
              </w:r>
            </w:hyperlink>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Item</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0000FF"/>
            </w:tcBorders>
            <w:gridSpan w:val="5"/>
            <w:vMerge w:val="restart"/>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7780" w:type="dxa"/>
            <w:vAlign w:val="bottom"/>
            <w:gridSpan w:val="16"/>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40" w:type="dxa"/>
            <w:vAlign w:val="bottom"/>
            <w:tcBorders>
              <w:top w:val="single" w:sz="8" w:color="0000FF"/>
            </w:tcBorders>
            <w:gridSpan w:val="3"/>
            <w:vMerge w:val="restart"/>
          </w:tcPr>
          <w:p>
            <w:pPr>
              <w:jc w:val="right"/>
              <w:spacing w:after="0"/>
              <w:rPr>
                <w:rFonts w:ascii="Arial" w:cs="Arial" w:eastAsia="Arial" w:hAnsi="Arial"/>
                <w:sz w:val="15"/>
                <w:szCs w:val="15"/>
                <w:color w:val="0000FF"/>
                <w:w w:val="71"/>
              </w:rPr>
            </w:pPr>
            <w:hyperlink w:anchor="page47">
              <w:r>
                <w:rPr>
                  <w:rFonts w:ascii="Arial" w:cs="Arial" w:eastAsia="Arial" w:hAnsi="Arial"/>
                  <w:sz w:val="15"/>
                  <w:szCs w:val="15"/>
                  <w:color w:val="0000FF"/>
                  <w:w w:val="71"/>
                </w:rPr>
                <w:t>44</w:t>
              </w:r>
            </w:hyperlink>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top w:val="single" w:sz="8" w:color="0000FF"/>
            </w:tcBorders>
            <w:gridSpan w:val="5"/>
            <w:vMerge w:val="continue"/>
          </w:tcPr>
          <w:p>
            <w:pPr>
              <w:spacing w:after="0"/>
              <w:rPr>
                <w:sz w:val="13"/>
                <w:szCs w:val="13"/>
                <w:color w:val="auto"/>
              </w:rPr>
            </w:pPr>
          </w:p>
        </w:tc>
        <w:tc>
          <w:tcPr>
            <w:tcW w:w="7780" w:type="dxa"/>
            <w:vAlign w:val="bottom"/>
            <w:gridSpan w:val="1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Borders>
              <w:top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0000FF"/>
            </w:tcBorders>
            <w:gridSpan w:val="12"/>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Defaults Upon Senior Securities</w:t>
              </w:r>
            </w:hyperlink>
          </w:p>
        </w:tc>
        <w:tc>
          <w:tcPr>
            <w:tcW w:w="48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46</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68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right"/>
              <w:spacing w:after="0"/>
              <w:rPr>
                <w:rFonts w:ascii="Arial" w:cs="Arial" w:eastAsia="Arial" w:hAnsi="Arial"/>
                <w:sz w:val="15"/>
                <w:szCs w:val="15"/>
                <w:color w:val="0000FF"/>
                <w:w w:val="71"/>
              </w:rPr>
            </w:pPr>
            <w:hyperlink w:anchor="page50">
              <w:r>
                <w:rPr>
                  <w:rFonts w:ascii="Arial" w:cs="Arial" w:eastAsia="Arial" w:hAnsi="Arial"/>
                  <w:sz w:val="15"/>
                  <w:szCs w:val="15"/>
                  <w:color w:val="0000FF"/>
                  <w:w w:val="71"/>
                </w:rPr>
                <w:t>47</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1">
              <w:r>
                <w:rPr>
                  <w:rFonts w:ascii="Arial" w:cs="Arial" w:eastAsia="Arial" w:hAnsi="Arial"/>
                  <w:sz w:val="18"/>
                  <w:szCs w:val="18"/>
                  <w:color w:val="0000FF"/>
                  <w:w w:val="87"/>
                </w:rPr>
                <w:t>Item 5.</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52">
              <w:r>
                <w:rPr>
                  <w:rFonts w:ascii="Arial" w:cs="Arial" w:eastAsia="Arial" w:hAnsi="Arial"/>
                  <w:sz w:val="18"/>
                  <w:szCs w:val="18"/>
                  <w:color w:val="0000FF"/>
                  <w:w w:val="87"/>
                </w:rPr>
                <w:t>Item 6.</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78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49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1656"/>
        </w:trPr>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64"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net income/(loss), adjusted gross profit/(loss), direct contribution, adjusted EBITDA, gross loss ratio, marketing costs, gross loss adjustment expense, or LAE, ratio, quota share levels and expansion of our renewal premium base;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governmental responses thereto on our business and financial condition;</w:t>
      </w:r>
    </w:p>
    <w:p>
      <w:pPr>
        <w:spacing w:after="0" w:line="164"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supply chain disruptions, increasing inflation, a recession and/or disruptions to properly functioning financial and capital markets and interest rates on our business and financial condition;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974090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119" w:lineRule="exact"/>
        <w:rPr>
          <w:sz w:val="20"/>
          <w:szCs w:val="20"/>
          <w:color w:val="auto"/>
        </w:rPr>
      </w:pPr>
    </w:p>
    <w:p>
      <w:pPr>
        <w:ind w:left="640" w:right="26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profits, retain customers, contract with additional partners to utilize the product, or achieve other benefits from our embedded insurance offering;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reduce customer acquisition costs and realize other expected benefits related to the partnership with Carvana Group, LLC, or Carvana;</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or hire personnel, in a competitive labor market and to offer competitive compensation and benefits;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meet Nasdaq listing standards;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956310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1"/>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240"/>
              <w:spacing w:after="0" w:line="159" w:lineRule="exact"/>
              <w:rPr>
                <w:sz w:val="20"/>
                <w:szCs w:val="20"/>
                <w:color w:val="auto"/>
              </w:rPr>
            </w:pPr>
            <w:r>
              <w:rPr>
                <w:rFonts w:ascii="Arial" w:cs="Arial" w:eastAsia="Arial" w:hAnsi="Arial"/>
                <w:sz w:val="17"/>
                <w:szCs w:val="17"/>
                <w:color w:val="auto"/>
              </w:rPr>
              <w:t>Fixed maturities available-for-sale, at fair value (amortized cost: $124.9 and $129.5 at June 30, 2022 and</w:t>
            </w:r>
          </w:p>
        </w:tc>
        <w:tc>
          <w:tcPr>
            <w:tcW w:w="30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2021, respectively)</w:t>
            </w:r>
          </w:p>
        </w:tc>
        <w:tc>
          <w:tcPr>
            <w:tcW w:w="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40"/>
              <w:spacing w:after="0"/>
              <w:rPr>
                <w:sz w:val="20"/>
                <w:szCs w:val="20"/>
                <w:color w:val="auto"/>
              </w:rPr>
            </w:pPr>
            <w:r>
              <w:rPr>
                <w:rFonts w:ascii="Arial" w:cs="Arial" w:eastAsia="Arial" w:hAnsi="Arial"/>
                <w:sz w:val="17"/>
                <w:szCs w:val="17"/>
                <w:color w:val="auto"/>
                <w:w w:val="94"/>
              </w:rPr>
              <w:t>Short-term investments (amortized cost: $0.5 and zero at June 30, 2022 and December 31, 2021, respectively)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investments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5"/>
              </w:rPr>
              <w:t>Premiums receivable, net of allowance of $3.8 and $5.4 at June 30, 2022 and December 31, 2021, respectively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90"/>
              </w:rPr>
              <w:t>Reinsurance recoverable and receivable, net of allowance of $0.1 and $0.2 at June 30, 2022 and December 31, 2021,</w:t>
            </w:r>
          </w:p>
        </w:tc>
        <w:tc>
          <w:tcPr>
            <w:tcW w:w="3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158.1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respectively</w:t>
            </w: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reinsurance premiums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Loss and loss adjustment expense reserves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312.7</w:t>
            </w:r>
          </w:p>
        </w:tc>
        <w:tc>
          <w:tcPr>
            <w:tcW w:w="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Unearned premiums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Long-term debt and warrants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Reinsurance premiums payable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05"/>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670.9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20"/>
              <w:spacing w:after="0" w:line="159" w:lineRule="exact"/>
              <w:rPr>
                <w:sz w:val="20"/>
                <w:szCs w:val="20"/>
                <w:color w:val="auto"/>
              </w:rPr>
            </w:pPr>
            <w:r>
              <w:rPr>
                <w:rFonts w:ascii="Arial" w:cs="Arial" w:eastAsia="Arial" w:hAnsi="Arial"/>
                <w:sz w:val="17"/>
                <w:szCs w:val="17"/>
                <w:color w:val="auto"/>
                <w:w w:val="88"/>
              </w:rPr>
              <w:t>Redeemable convertible preferred stock, $0.0001 par value, 100.0 shares authorized, 14.1 shares issued and outstanding</w:t>
            </w:r>
          </w:p>
        </w:tc>
        <w:tc>
          <w:tcPr>
            <w:tcW w:w="3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12"/>
        </w:trPr>
        <w:tc>
          <w:tcPr>
            <w:tcW w:w="8160" w:type="dxa"/>
            <w:vAlign w:val="bottom"/>
          </w:tcPr>
          <w:p>
            <w:pPr>
              <w:ind w:left="180"/>
              <w:spacing w:after="0"/>
              <w:rPr>
                <w:sz w:val="20"/>
                <w:szCs w:val="20"/>
                <w:color w:val="auto"/>
              </w:rPr>
            </w:pPr>
            <w:r>
              <w:rPr>
                <w:rFonts w:ascii="Arial" w:cs="Arial" w:eastAsia="Arial" w:hAnsi="Arial"/>
                <w:sz w:val="17"/>
                <w:szCs w:val="17"/>
                <w:color w:val="auto"/>
              </w:rPr>
              <w:t>at June 30, 2022 and December 31, 2021 (liquidation preference of $126.5)</w:t>
            </w: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88"/>
              </w:rPr>
              <w:t>Class A common stock, $0.0001 par value, 1,000.0 shares authorized, 161.0 and 142.9 shares issued and outstanding at</w:t>
            </w:r>
          </w:p>
        </w:tc>
        <w:tc>
          <w:tcPr>
            <w:tcW w:w="30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June 30, 2022 and December 31, 2021, respectively</w:t>
            </w:r>
          </w:p>
        </w:tc>
        <w:tc>
          <w:tcPr>
            <w:tcW w:w="3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90"/>
              </w:rPr>
              <w:t>Class B common stock, $0.0001 par value, 269.0 shares authorized, 93.8 and 109.9 shares issued and outstanding at</w:t>
            </w:r>
          </w:p>
        </w:tc>
        <w:tc>
          <w:tcPr>
            <w:tcW w:w="30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June 30, 2022 and December 31, 2021, respectively</w:t>
            </w:r>
          </w:p>
        </w:tc>
        <w:tc>
          <w:tcPr>
            <w:tcW w:w="3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1,806.1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 income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Accumulated loss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(1,270.1)</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liabilities, redeemable convertible preferred stock and stockholders’ equity</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 w:name="page6"/>
    <w:bookmarkEnd w:id="5"/>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Net realized (losses) gains on investments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Other insurance (benefit)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Other comprehensive loss: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Changes in net unrealized losses on investments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4"/>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20" w:type="dxa"/>
            <w:vAlign w:val="bottom"/>
            <w:vMerge w:val="continue"/>
          </w:tcPr>
          <w:p>
            <w:pPr>
              <w:spacing w:after="0"/>
              <w:rPr>
                <w:sz w:val="17"/>
                <w:szCs w:val="17"/>
                <w:color w:val="auto"/>
              </w:rPr>
            </w:pPr>
          </w:p>
        </w:tc>
        <w:tc>
          <w:tcPr>
            <w:tcW w:w="800" w:type="dxa"/>
            <w:vAlign w:val="bottom"/>
          </w:tcPr>
          <w:p>
            <w:pPr>
              <w:jc w:val="right"/>
              <w:ind w:right="619"/>
              <w:spacing w:after="0" w:line="198"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8" w:lineRule="exact"/>
              <w:rPr>
                <w:sz w:val="20"/>
                <w:szCs w:val="20"/>
                <w:color w:val="auto"/>
              </w:rPr>
            </w:pPr>
            <w:r>
              <w:rPr>
                <w:rFonts w:ascii="Arial" w:cs="Arial" w:eastAsia="Arial" w:hAnsi="Arial"/>
                <w:sz w:val="18"/>
                <w:szCs w:val="18"/>
                <w:color w:val="auto"/>
                <w:w w:val="93"/>
              </w:rPr>
              <w:t>(0.36)</w:t>
            </w:r>
          </w:p>
        </w:tc>
        <w:tc>
          <w:tcPr>
            <w:tcW w:w="10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(0.72)</w:t>
            </w:r>
          </w:p>
        </w:tc>
        <w:tc>
          <w:tcPr>
            <w:tcW w:w="100" w:type="dxa"/>
            <w:vAlign w:val="bottom"/>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8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253.0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B)</w:t>
            </w:r>
          </w:p>
        </w:tc>
        <w:tc>
          <w:tcPr>
            <w:tcW w:w="8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gridSpan w:val="5"/>
          </w:tcPr>
          <w:p>
            <w:pPr>
              <w:jc w:val="center"/>
              <w:ind w:right="80"/>
              <w:spacing w:after="0"/>
              <w:rPr>
                <w:sz w:val="20"/>
                <w:szCs w:val="20"/>
                <w:color w:val="auto"/>
              </w:rPr>
            </w:pPr>
            <w:r>
              <w:rPr>
                <w:rFonts w:ascii="Arial" w:cs="Arial" w:eastAsia="Arial" w:hAnsi="Arial"/>
                <w:sz w:val="12"/>
                <w:szCs w:val="12"/>
                <w:b w:val="1"/>
                <w:bCs w:val="1"/>
                <w:color w:val="auto"/>
                <w:w w:val="90"/>
              </w:rPr>
              <w:t>Redeemable</w:t>
            </w: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360" w:type="dxa"/>
            <w:vAlign w:val="bottom"/>
            <w:tcBorders>
              <w:right w:val="single" w:sz="8" w:color="auto"/>
            </w:tcBorders>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60" w:type="dxa"/>
            <w:vAlign w:val="bottom"/>
          </w:tcPr>
          <w:p>
            <w:pPr>
              <w:spacing w:after="0"/>
              <w:rPr>
                <w:sz w:val="10"/>
                <w:szCs w:val="10"/>
                <w:color w:val="auto"/>
              </w:rPr>
            </w:pPr>
          </w:p>
        </w:tc>
        <w:tc>
          <w:tcPr>
            <w:tcW w:w="2020" w:type="dxa"/>
            <w:vAlign w:val="bottom"/>
            <w:gridSpan w:val="7"/>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1280" w:type="dxa"/>
            <w:vAlign w:val="bottom"/>
            <w:gridSpan w:val="4"/>
            <w:vMerge w:val="restart"/>
          </w:tcPr>
          <w:p>
            <w:pPr>
              <w:ind w:left="24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840" w:type="dxa"/>
            <w:vAlign w:val="bottom"/>
            <w:gridSpan w:val="3"/>
          </w:tcPr>
          <w:p>
            <w:pPr>
              <w:jc w:val="center"/>
              <w:ind w:left="351"/>
              <w:spacing w:after="0" w:line="120" w:lineRule="exact"/>
              <w:rPr>
                <w:sz w:val="20"/>
                <w:szCs w:val="20"/>
                <w:color w:val="auto"/>
              </w:rPr>
            </w:pPr>
            <w:r>
              <w:rPr>
                <w:rFonts w:ascii="Arial" w:cs="Arial" w:eastAsia="Arial" w:hAnsi="Arial"/>
                <w:sz w:val="12"/>
                <w:szCs w:val="12"/>
                <w:b w:val="1"/>
                <w:bCs w:val="1"/>
                <w:color w:val="auto"/>
                <w:w w:val="91"/>
              </w:rPr>
              <w:t>Stock</w:t>
            </w: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66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Class A</w:t>
            </w:r>
          </w:p>
        </w:tc>
        <w:tc>
          <w:tcPr>
            <w:tcW w:w="6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0"/>
              </w:rPr>
              <w:t>Class B</w:t>
            </w:r>
          </w:p>
        </w:tc>
        <w:tc>
          <w:tcPr>
            <w:tcW w:w="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Additional Paid-</w:t>
            </w:r>
          </w:p>
        </w:tc>
        <w:tc>
          <w:tcPr>
            <w:tcW w:w="1040" w:type="dxa"/>
            <w:vAlign w:val="bottom"/>
            <w:gridSpan w:val="3"/>
          </w:tcPr>
          <w:p>
            <w:pPr>
              <w:jc w:val="center"/>
              <w:ind w:right="6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in Capital</w:t>
            </w: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10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compensation expense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Warrants issuance costs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Warrant compensation 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issuance costs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Term Loan C warrants issued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5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 UNAUDITED (CONTINUED)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jc w:val="center"/>
              <w:ind w:left="211"/>
              <w:spacing w:after="0"/>
              <w:rPr>
                <w:sz w:val="20"/>
                <w:szCs w:val="20"/>
                <w:color w:val="auto"/>
              </w:rPr>
            </w:pPr>
            <w:r>
              <w:rPr>
                <w:rFonts w:ascii="Arial" w:cs="Arial" w:eastAsia="Arial" w:hAnsi="Arial"/>
                <w:sz w:val="12"/>
                <w:szCs w:val="12"/>
                <w:b w:val="1"/>
                <w:bCs w:val="1"/>
                <w:color w:val="auto"/>
                <w:w w:val="90"/>
              </w:rPr>
              <w:t>Redeemable</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360" w:type="dxa"/>
            <w:vAlign w:val="bottom"/>
            <w:tcBorders>
              <w:right w:val="single" w:sz="8" w:color="auto"/>
            </w:tcBorders>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60" w:type="dxa"/>
            <w:vAlign w:val="bottom"/>
          </w:tcPr>
          <w:p>
            <w:pPr>
              <w:spacing w:after="0"/>
              <w:rPr>
                <w:sz w:val="10"/>
                <w:szCs w:val="10"/>
                <w:color w:val="auto"/>
              </w:rPr>
            </w:pPr>
          </w:p>
        </w:tc>
        <w:tc>
          <w:tcPr>
            <w:tcW w:w="2020" w:type="dxa"/>
            <w:vAlign w:val="bottom"/>
            <w:gridSpan w:val="7"/>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1280" w:type="dxa"/>
            <w:vAlign w:val="bottom"/>
            <w:gridSpan w:val="4"/>
            <w:vMerge w:val="restart"/>
          </w:tcPr>
          <w:p>
            <w:pPr>
              <w:ind w:left="24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000" w:type="dxa"/>
            <w:vAlign w:val="bottom"/>
            <w:gridSpan w:val="3"/>
          </w:tcPr>
          <w:p>
            <w:pPr>
              <w:jc w:val="center"/>
              <w:ind w:left="191"/>
              <w:spacing w:after="0" w:line="120" w:lineRule="exact"/>
              <w:rPr>
                <w:sz w:val="20"/>
                <w:szCs w:val="20"/>
                <w:color w:val="auto"/>
              </w:rPr>
            </w:pPr>
            <w:r>
              <w:rPr>
                <w:rFonts w:ascii="Arial" w:cs="Arial" w:eastAsia="Arial" w:hAnsi="Arial"/>
                <w:sz w:val="12"/>
                <w:szCs w:val="12"/>
                <w:b w:val="1"/>
                <w:bCs w:val="1"/>
                <w:color w:val="auto"/>
                <w:w w:val="91"/>
              </w:rPr>
              <w:t>Stock</w:t>
            </w: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3"/>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660" w:type="dxa"/>
            <w:vAlign w:val="bottom"/>
            <w:gridSpan w:val="2"/>
          </w:tcPr>
          <w:p>
            <w:pPr>
              <w:jc w:val="center"/>
              <w:ind w:right="60"/>
              <w:spacing w:after="0" w:line="126" w:lineRule="exact"/>
              <w:rPr>
                <w:sz w:val="20"/>
                <w:szCs w:val="20"/>
                <w:color w:val="auto"/>
              </w:rPr>
            </w:pPr>
            <w:r>
              <w:rPr>
                <w:rFonts w:ascii="Arial" w:cs="Arial" w:eastAsia="Arial" w:hAnsi="Arial"/>
                <w:sz w:val="12"/>
                <w:szCs w:val="12"/>
                <w:b w:val="1"/>
                <w:bCs w:val="1"/>
                <w:color w:val="auto"/>
                <w:w w:val="90"/>
              </w:rPr>
              <w:t>Class A</w:t>
            </w:r>
          </w:p>
        </w:tc>
        <w:tc>
          <w:tcPr>
            <w:tcW w:w="6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0"/>
              </w:rPr>
              <w:t>Class B</w:t>
            </w:r>
          </w:p>
        </w:tc>
        <w:tc>
          <w:tcPr>
            <w:tcW w:w="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Additional Paid-</w:t>
            </w:r>
          </w:p>
        </w:tc>
        <w:tc>
          <w:tcPr>
            <w:tcW w:w="1040" w:type="dxa"/>
            <w:vAlign w:val="bottom"/>
            <w:gridSpan w:val="3"/>
          </w:tcPr>
          <w:p>
            <w:pPr>
              <w:jc w:val="center"/>
              <w:ind w:right="6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3"/>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Shares</w:t>
            </w: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Income</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10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(0.8)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934.3</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stock—option exercises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shares withheld for employee taxes</w:t>
            </w:r>
          </w:p>
        </w:tc>
        <w:tc>
          <w:tcPr>
            <w:tcW w:w="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Reclassification of early-exercised stock</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2021</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(0.8)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4"/>
                <w:szCs w:val="14"/>
                <w:color w:val="auto"/>
              </w:rPr>
              <w:t>Balance—June 30, 2021</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7"/>
              </w:rPr>
              <w:t>(0.8)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60" w:type="dxa"/>
            <w:vAlign w:val="bottom"/>
            <w:tcBorders>
              <w:top w:val="single" w:sz="8" w:color="auto"/>
            </w:tcBorders>
          </w:tcPr>
          <w:p>
            <w:pPr>
              <w:spacing w:after="0"/>
              <w:rPr>
                <w:sz w:val="15"/>
                <w:szCs w:val="15"/>
                <w:color w:val="auto"/>
              </w:rPr>
            </w:pPr>
          </w:p>
        </w:tc>
        <w:tc>
          <w:tcPr>
            <w:tcW w:w="2500" w:type="dxa"/>
            <w:vAlign w:val="bottom"/>
            <w:tcBorders>
              <w:top w:val="single" w:sz="8" w:color="auto"/>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top w:val="single" w:sz="8" w:color="auto"/>
              <w:bottom w:val="single" w:sz="8" w:color="auto"/>
            </w:tcBorders>
          </w:tcPr>
          <w:p>
            <w:pPr>
              <w:spacing w:after="0"/>
              <w:rPr>
                <w:sz w:val="15"/>
                <w:szCs w:val="15"/>
                <w:color w:val="auto"/>
              </w:rPr>
            </w:pPr>
          </w:p>
        </w:tc>
      </w:tr>
      <w:tr>
        <w:trPr>
          <w:trHeight w:val="178"/>
        </w:trPr>
        <w:tc>
          <w:tcPr>
            <w:tcW w:w="816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r>
      <w:tr>
        <w:trPr>
          <w:trHeight w:val="179"/>
        </w:trPr>
        <w:tc>
          <w:tcPr>
            <w:tcW w:w="8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(166.3)</w:t>
            </w:r>
          </w:p>
        </w:tc>
        <w:tc>
          <w:tcPr>
            <w:tcW w:w="80" w:type="dxa"/>
            <w:vAlign w:val="bottom"/>
          </w:tcPr>
          <w:p>
            <w:pPr>
              <w:spacing w:after="0"/>
              <w:rPr>
                <w:sz w:val="18"/>
                <w:szCs w:val="18"/>
                <w:color w:val="auto"/>
              </w:rPr>
            </w:pP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(278.2)</w:t>
            </w: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 compensation expense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Bad debt expense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Payment-in-kind interest expense</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realized gains on investments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Premiums receivable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Reinsurance recoverable and receivable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reinsurance premiums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Losses and loss adjustment expenses reserves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Unearned premiums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Reinsurance premiums payable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Accounts payable and accrued expenses</w:t>
            </w:r>
          </w:p>
        </w:tc>
        <w:tc>
          <w:tcPr>
            <w:tcW w:w="9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(104.9)</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investments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call and pay downs of investments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Sales of investments</w:t>
            </w:r>
          </w:p>
        </w:tc>
        <w:tc>
          <w:tcPr>
            <w:tcW w:w="9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Capitalization of internally developed software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fixed assets</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debt and related warrants, net of issuance costs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08"/>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286.3</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179.6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707.0</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1,113.8</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4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886.6</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974.1</w:t>
            </w:r>
          </w:p>
        </w:tc>
      </w:tr>
      <w:tr>
        <w:trPr>
          <w:trHeight w:val="20"/>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9" w:name="page10"/>
    <w:bookmarkEnd w:id="9"/>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47"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0"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8"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We offer auto and renters insurance products underwritten by Root Insurance Company and Root Property &amp; Casualty Insurance Company.</w:t>
      </w:r>
    </w:p>
    <w:p>
      <w:pPr>
        <w:spacing w:after="0" w:line="129"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64" w:lineRule="exact"/>
        <w:rPr>
          <w:sz w:val="20"/>
          <w:szCs w:val="20"/>
          <w:color w:val="auto"/>
        </w:rPr>
      </w:pPr>
    </w:p>
    <w:p>
      <w:pPr>
        <w:ind w:firstLine="318"/>
        <w:spacing w:after="0" w:line="274"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—In our opinion, all adjustments necessary for a fair presentation of the condensed consolidated financial statements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2021 filed with the SEC on February 23, 2022, or the 2021 10-K.</w:t>
      </w:r>
    </w:p>
    <w:p>
      <w:pPr>
        <w:spacing w:after="0" w:line="114" w:lineRule="exact"/>
        <w:rPr>
          <w:sz w:val="20"/>
          <w:szCs w:val="20"/>
          <w:color w:val="auto"/>
        </w:rPr>
      </w:pPr>
    </w:p>
    <w:p>
      <w:pPr>
        <w:jc w:val="both"/>
        <w:ind w:right="80" w:firstLine="318"/>
        <w:spacing w:after="0" w:line="258"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27" w:lineRule="exact"/>
        <w:rPr>
          <w:sz w:val="20"/>
          <w:szCs w:val="20"/>
          <w:color w:val="auto"/>
        </w:rPr>
      </w:pPr>
    </w:p>
    <w:p>
      <w:pPr>
        <w:ind w:right="180" w:firstLine="318"/>
        <w:spacing w:after="0" w:line="314" w:lineRule="auto"/>
        <w:rPr>
          <w:sz w:val="20"/>
          <w:szCs w:val="20"/>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—The preparation of the unaudited condensed consolidated financial statements requires management to make certain estimates and</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allowance for expected credit losses on premium receivables and valuation allowances for income taxes.</w:t>
      </w:r>
    </w:p>
    <w:p>
      <w:pPr>
        <w:spacing w:after="0" w:line="91"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b w:val="1"/>
          <w:bCs w:val="1"/>
          <w:color w:val="auto"/>
        </w:rPr>
        <w:t>COVID-19</w:t>
      </w:r>
      <w:r>
        <w:rPr>
          <w:rFonts w:ascii="Arial" w:cs="Arial" w:eastAsia="Arial" w:hAnsi="Arial"/>
          <w:sz w:val="15"/>
          <w:szCs w:val="15"/>
          <w:color w:val="auto"/>
        </w:rPr>
        <w:t>—In March 2020, the World Health Organization declared COVID-19 to be a global pandemic. The pandemic and related measures taken to</w:t>
      </w:r>
      <w:r>
        <w:rPr>
          <w:rFonts w:ascii="Arial" w:cs="Arial" w:eastAsia="Arial" w:hAnsi="Arial"/>
          <w:sz w:val="15"/>
          <w:szCs w:val="15"/>
          <w:b w:val="1"/>
          <w:bCs w:val="1"/>
          <w:color w:val="auto"/>
        </w:rPr>
        <w:t xml:space="preserve"> </w:t>
      </w:r>
      <w:r>
        <w:rPr>
          <w:rFonts w:ascii="Arial" w:cs="Arial" w:eastAsia="Arial" w:hAnsi="Arial"/>
          <w:sz w:val="15"/>
          <w:szCs w:val="15"/>
          <w:color w:val="auto"/>
        </w:rPr>
        <w:t>contain the spread of COVID-19, such as government-mandated business closures, orders to “shelter in place”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COVID-19-related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 As a result of certain factors related to the COVID-19 global pandemic, we continue to file in multiple states to establish rates that more closely follow the evolving loss cost trends.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3" w:lineRule="exact"/>
        <w:rPr>
          <w:sz w:val="20"/>
          <w:szCs w:val="20"/>
          <w:color w:val="auto"/>
        </w:rPr>
      </w:pPr>
    </w:p>
    <w:p>
      <w:pPr>
        <w:ind w:right="400" w:firstLine="318"/>
        <w:spacing w:after="0" w:line="374" w:lineRule="auto"/>
        <w:rPr>
          <w:sz w:val="20"/>
          <w:szCs w:val="20"/>
          <w:color w:val="auto"/>
        </w:rPr>
      </w:pPr>
      <w:r>
        <w:rPr>
          <w:rFonts w:ascii="Arial" w:cs="Arial" w:eastAsia="Arial" w:hAnsi="Arial"/>
          <w:sz w:val="15"/>
          <w:szCs w:val="15"/>
          <w:b w:val="1"/>
          <w:bCs w:val="1"/>
          <w:color w:val="auto"/>
        </w:rPr>
        <w:t>Cash, Cash Equivalents and Restricted Cash</w:t>
      </w:r>
      <w:r>
        <w:rPr>
          <w:rFonts w:ascii="Arial" w:cs="Arial" w:eastAsia="Arial" w:hAnsi="Arial"/>
          <w:sz w:val="15"/>
          <w:szCs w:val="15"/>
          <w:color w:val="auto"/>
        </w:rPr>
        <w:t>—The following table provides a reconciliation of cash, cash equivalents and restricted cash reported</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the condensed consolidated balance sheets that sum to the total of the same such amount in the condensed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8020" w:type="dxa"/>
            <w:vAlign w:val="bottom"/>
          </w:tcPr>
          <w:p>
            <w:pPr>
              <w:spacing w:after="0"/>
              <w:rPr>
                <w:sz w:val="18"/>
                <w:szCs w:val="18"/>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4"/>
        </w:trPr>
        <w:tc>
          <w:tcPr>
            <w:tcW w:w="8020" w:type="dxa"/>
            <w:vAlign w:val="bottom"/>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3220" w:type="dxa"/>
            <w:vAlign w:val="bottom"/>
            <w:gridSpan w:val="5"/>
          </w:tcPr>
          <w:p>
            <w:pPr>
              <w:jc w:val="right"/>
              <w:ind w:right="939"/>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3"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June 30, 2022 and December 31, 2021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June 30, 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Allowance for</w:t>
            </w:r>
          </w:p>
        </w:tc>
        <w:tc>
          <w:tcPr>
            <w:tcW w:w="440" w:type="dxa"/>
            <w:vAlign w:val="bottom"/>
          </w:tcPr>
          <w:p>
            <w:pPr>
              <w:spacing w:after="0"/>
              <w:rPr>
                <w:sz w:val="11"/>
                <w:szCs w:val="11"/>
                <w:color w:val="auto"/>
              </w:rPr>
            </w:pPr>
          </w:p>
        </w:tc>
        <w:tc>
          <w:tcPr>
            <w:tcW w:w="13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460" w:type="dxa"/>
            <w:vAlign w:val="bottom"/>
          </w:tcPr>
          <w:p>
            <w:pPr>
              <w:spacing w:after="0"/>
              <w:rPr>
                <w:sz w:val="11"/>
                <w:szCs w:val="11"/>
                <w:color w:val="auto"/>
              </w:rPr>
            </w:pPr>
          </w:p>
        </w:tc>
        <w:tc>
          <w:tcPr>
            <w:tcW w:w="13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Expected Credit Losses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left="198"/>
              <w:spacing w:after="0"/>
              <w:rPr>
                <w:sz w:val="20"/>
                <w:szCs w:val="20"/>
                <w:color w:val="auto"/>
              </w:rPr>
            </w:pPr>
            <w:r>
              <w:rPr>
                <w:rFonts w:ascii="Arial" w:cs="Arial" w:eastAsia="Arial" w:hAnsi="Arial"/>
                <w:sz w:val="14"/>
                <w:szCs w:val="14"/>
                <w:b w:val="1"/>
                <w:bCs w:val="1"/>
                <w:color w:val="auto"/>
                <w:w w:val="91"/>
              </w:rPr>
              <w:t>(dollars in millions)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rPr>
              <w:t>U.S. Treasury securities and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agencies</w:t>
            </w:r>
          </w:p>
        </w:tc>
        <w:tc>
          <w:tcPr>
            <w:tcW w:w="4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5"/>
        </w:trPr>
        <w:tc>
          <w:tcPr>
            <w:tcW w:w="25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Residential mortgage-backed</w:t>
            </w:r>
          </w:p>
        </w:tc>
        <w:tc>
          <w:tcPr>
            <w:tcW w:w="4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w w:val="99"/>
              </w:rPr>
              <w:t>Commercial mortgage backed</w:t>
            </w:r>
          </w:p>
        </w:tc>
        <w:tc>
          <w:tcPr>
            <w:tcW w:w="4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540" w:type="dxa"/>
            <w:vAlign w:val="bottom"/>
          </w:tcPr>
          <w:p>
            <w:pPr>
              <w:ind w:left="560"/>
              <w:spacing w:after="0"/>
              <w:rPr>
                <w:sz w:val="20"/>
                <w:szCs w:val="20"/>
                <w:color w:val="auto"/>
              </w:rPr>
            </w:pPr>
            <w:r>
              <w:rPr>
                <w:rFonts w:ascii="Arial" w:cs="Arial" w:eastAsia="Arial" w:hAnsi="Arial"/>
                <w:sz w:val="18"/>
                <w:szCs w:val="18"/>
                <w:color w:val="auto"/>
              </w:rPr>
              <w:t>Total fixed maturities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9"/>
        </w:trPr>
        <w:tc>
          <w:tcPr>
            <w:tcW w:w="25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5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2021</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Allowance for</w:t>
            </w:r>
          </w:p>
        </w:tc>
        <w:tc>
          <w:tcPr>
            <w:tcW w:w="440" w:type="dxa"/>
            <w:vAlign w:val="bottom"/>
          </w:tcPr>
          <w:p>
            <w:pPr>
              <w:spacing w:after="0"/>
              <w:rPr>
                <w:sz w:val="11"/>
                <w:szCs w:val="11"/>
                <w:color w:val="auto"/>
              </w:rPr>
            </w:pPr>
          </w:p>
        </w:tc>
        <w:tc>
          <w:tcPr>
            <w:tcW w:w="13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460" w:type="dxa"/>
            <w:vAlign w:val="bottom"/>
          </w:tcPr>
          <w:p>
            <w:pPr>
              <w:spacing w:after="0"/>
              <w:rPr>
                <w:sz w:val="11"/>
                <w:szCs w:val="11"/>
                <w:color w:val="auto"/>
              </w:rPr>
            </w:pPr>
          </w:p>
        </w:tc>
        <w:tc>
          <w:tcPr>
            <w:tcW w:w="13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Expected Credit Losses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left="198"/>
              <w:spacing w:after="0"/>
              <w:rPr>
                <w:sz w:val="20"/>
                <w:szCs w:val="20"/>
                <w:color w:val="auto"/>
              </w:rPr>
            </w:pPr>
            <w:r>
              <w:rPr>
                <w:rFonts w:ascii="Arial" w:cs="Arial" w:eastAsia="Arial" w:hAnsi="Arial"/>
                <w:sz w:val="14"/>
                <w:szCs w:val="14"/>
                <w:b w:val="1"/>
                <w:bCs w:val="1"/>
                <w:color w:val="auto"/>
                <w:w w:val="91"/>
              </w:rPr>
              <w:t>(dollars in millions)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rPr>
              <w:t>U.S. Treasury securities and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5"/>
                <w:szCs w:val="15"/>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agencies</w:t>
            </w:r>
          </w:p>
        </w:tc>
        <w:tc>
          <w:tcPr>
            <w:tcW w:w="4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5"/>
        </w:trPr>
        <w:tc>
          <w:tcPr>
            <w:tcW w:w="25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Residential mortgage-backed</w:t>
            </w:r>
          </w:p>
        </w:tc>
        <w:tc>
          <w:tcPr>
            <w:tcW w:w="4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w w:val="99"/>
              </w:rPr>
              <w:t>Commercial mortgage backed</w:t>
            </w:r>
          </w:p>
        </w:tc>
        <w:tc>
          <w:tcPr>
            <w:tcW w:w="4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25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Management reviewed the available-for-sale securities at each balance sheet date to consider whether it was necessary to recognize a credit loss as of June 30, 2022 and December 31, 2021 related to any of the above securities.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6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As of June 30, 2022 and December 31, 2021, other investments related to our private equity investments were $4.4 million and $4.7 million, respectively. We recognized zero and $1.2 million of realized gains for the three and six months ended June 30, 2022, respectively. We recorded the sale of one of our private equity investments within net realized (losses) gains on investments in our condensed consolidated statements of operations and comprehensive loss. There were no unrealized gains or impairment losses recognized on private equity investments for the three and six months ended June 30, 2022 and 2021.</w:t>
      </w:r>
    </w:p>
    <w:p>
      <w:pPr>
        <w:spacing w:after="0" w:line="93" w:lineRule="exact"/>
        <w:rPr>
          <w:sz w:val="20"/>
          <w:szCs w:val="20"/>
          <w:color w:val="auto"/>
        </w:rPr>
      </w:pPr>
    </w:p>
    <w:p>
      <w:pPr>
        <w:ind w:right="560" w:firstLine="318"/>
        <w:spacing w:after="0" w:line="255" w:lineRule="auto"/>
        <w:rPr>
          <w:sz w:val="20"/>
          <w:szCs w:val="20"/>
          <w:color w:val="auto"/>
        </w:rPr>
      </w:pPr>
      <w:r>
        <w:rPr>
          <w:rFonts w:ascii="Arial" w:cs="Arial" w:eastAsia="Arial" w:hAnsi="Arial"/>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June 30, 2022 and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June 30, 2022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5"/>
                <w:szCs w:val="15"/>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12 Months or More</w:t>
            </w: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5"/>
              <w:spacing w:after="0" w:line="12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100"/>
              <w:spacing w:after="0" w:line="12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27"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(dollars 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58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maturities: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U.S. Treasury securities and agencies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Municipal securities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debt securities</w:t>
      </w:r>
    </w:p>
    <w:p>
      <w:pPr>
        <w:spacing w:after="0" w:line="58" w:lineRule="exact"/>
        <w:rPr>
          <w:sz w:val="20"/>
          <w:szCs w:val="20"/>
          <w:color w:val="auto"/>
        </w:rPr>
      </w:pPr>
    </w:p>
    <w:p>
      <w:pPr>
        <w:ind w:left="120"/>
        <w:spacing w:after="0" w:line="396" w:lineRule="auto"/>
        <w:rPr>
          <w:sz w:val="20"/>
          <w:szCs w:val="20"/>
          <w:color w:val="auto"/>
        </w:rPr>
      </w:pPr>
      <w:r>
        <w:rPr>
          <w:rFonts w:ascii="Arial" w:cs="Arial" w:eastAsia="Arial" w:hAnsi="Arial"/>
          <w:sz w:val="15"/>
          <w:szCs w:val="15"/>
          <w:color w:val="auto"/>
        </w:rPr>
        <w:t>Residential mortgage-backed securities Commercial mortgage-backed securities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fixed maturities</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Arial" w:cs="Arial" w:eastAsia="Arial" w:hAnsi="Arial"/>
          <w:sz w:val="14"/>
          <w:szCs w:val="14"/>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2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6"/>
              <w:spacing w:after="0" w:line="12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6"/>
              <w:spacing w:after="0" w:line="127"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-1193800</wp:posOffset>
            </wp:positionV>
            <wp:extent cx="71348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-882650</wp:posOffset>
            </wp:positionV>
            <wp:extent cx="7134860" cy="168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-546100</wp:posOffset>
            </wp:positionV>
            <wp:extent cx="713486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-209550</wp:posOffset>
            </wp:positionV>
            <wp:extent cx="7134860"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00"/>
            <w:col w:w="76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19"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The following table reflects the gross and net realized gains and losses on short-term investments, fixed maturities and other investments that have been included in the condensed consolidated statements of operations and comprehensive loss for the three and six months ended June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6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on investments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87"/>
              </w:rPr>
              <w:t>2.5</w:t>
            </w:r>
          </w:p>
        </w:tc>
      </w:tr>
      <w:tr>
        <w:trPr>
          <w:trHeight w:val="26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 on investments</w:t>
            </w:r>
          </w:p>
        </w:tc>
        <w:tc>
          <w:tcPr>
            <w:tcW w:w="1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left="499"/>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left="716"/>
              <w:spacing w:after="0"/>
              <w:rPr>
                <w:sz w:val="20"/>
                <w:szCs w:val="20"/>
                <w:color w:val="auto"/>
              </w:rPr>
            </w:pPr>
            <w:r>
              <w:rPr>
                <w:rFonts w:ascii="Arial" w:cs="Arial" w:eastAsia="Arial" w:hAnsi="Arial"/>
                <w:sz w:val="18"/>
                <w:szCs w:val="18"/>
                <w:color w:val="auto"/>
                <w:w w:val="91"/>
              </w:rPr>
              <w:t>(0.1)</w:t>
            </w: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87"/>
              </w:rPr>
              <w:t>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sets forth the amortized cost and fair value of short-term investments and fixed maturity securities by contractual maturity at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8"/>
              </w:rPr>
              <w:t>Fair Value</w:t>
            </w:r>
          </w:p>
        </w:tc>
      </w:tr>
      <w:tr>
        <w:trPr>
          <w:trHeight w:val="182"/>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6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components of net investment income for the three and six months ended June 30,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220" w:type="dxa"/>
            <w:vAlign w:val="bottom"/>
            <w:tcBorders>
              <w:bottom w:val="single" w:sz="8" w:color="auto"/>
            </w:tcBorders>
            <w:gridSpan w:val="6"/>
          </w:tcPr>
          <w:p>
            <w:pPr>
              <w:jc w:val="right"/>
              <w:ind w:right="297"/>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bonds</w:t>
            </w:r>
          </w:p>
        </w:tc>
        <w:tc>
          <w:tcPr>
            <w:tcW w:w="12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center"/>
              <w:ind w:left="857"/>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on deposits and cash equivalents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7"/>
              </w:rPr>
              <w:t>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857"/>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857"/>
              <w:spacing w:after="0"/>
              <w:rPr>
                <w:sz w:val="20"/>
                <w:szCs w:val="20"/>
                <w:color w:val="auto"/>
              </w:rPr>
            </w:pPr>
            <w:r>
              <w:rPr>
                <w:rFonts w:ascii="Arial" w:cs="Arial" w:eastAsia="Arial" w:hAnsi="Arial"/>
                <w:sz w:val="18"/>
                <w:szCs w:val="18"/>
                <w:color w:val="auto"/>
                <w:w w:val="87"/>
              </w:rPr>
              <w:t>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Investment expense</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1057"/>
              <w:spacing w:after="0"/>
              <w:rPr>
                <w:sz w:val="20"/>
                <w:szCs w:val="20"/>
                <w:color w:val="auto"/>
              </w:rPr>
            </w:pPr>
            <w:r>
              <w:rPr>
                <w:rFonts w:ascii="Arial" w:cs="Arial" w:eastAsia="Arial" w:hAnsi="Arial"/>
                <w:sz w:val="18"/>
                <w:szCs w:val="18"/>
                <w:color w:val="auto"/>
                <w:w w:val="91"/>
              </w:rPr>
              <w:t>(0.2)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0.7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3"/>
            <w:shd w:val="clear" w:color="auto" w:fill="CCEEFF"/>
          </w:tcPr>
          <w:p>
            <w:pPr>
              <w:jc w:val="center"/>
              <w:ind w:left="857"/>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940" w:type="dxa"/>
            <w:vAlign w:val="bottom"/>
            <w:gridSpan w:val="12"/>
          </w:tcPr>
          <w:p>
            <w:pPr>
              <w:ind w:left="320"/>
              <w:spacing w:after="0"/>
              <w:rPr>
                <w:sz w:val="20"/>
                <w:szCs w:val="20"/>
                <w:color w:val="auto"/>
              </w:rPr>
            </w:pPr>
            <w:r>
              <w:rPr>
                <w:rFonts w:ascii="Arial" w:cs="Arial" w:eastAsia="Arial" w:hAnsi="Arial"/>
                <w:sz w:val="18"/>
                <w:szCs w:val="18"/>
                <w:color w:val="auto"/>
                <w:w w:val="89"/>
              </w:rPr>
              <w:t>The following tables summarize the credit ratings of investments at June 30, 2022 and December 31, 2021: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0"/>
              </w:rPr>
              <w:t>June 30, 2022</w:t>
            </w: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Amortized 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(dollars in millions)</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12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40" w:type="dxa"/>
            <w:vAlign w:val="bottom"/>
            <w:gridSpan w:val="5"/>
            <w:shd w:val="clear" w:color="auto" w:fill="CCEEFF"/>
          </w:tcPr>
          <w:p>
            <w:pPr>
              <w:jc w:val="center"/>
              <w:ind w:left="3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1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640" w:type="dxa"/>
            <w:vAlign w:val="bottom"/>
            <w:gridSpan w:val="5"/>
            <w:shd w:val="clear" w:color="auto" w:fill="CCEEFF"/>
          </w:tcPr>
          <w:p>
            <w:pPr>
              <w:jc w:val="center"/>
              <w:ind w:left="3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7"/>
              <w:spacing w:after="0" w:line="131"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17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700" w:type="dxa"/>
            <w:vAlign w:val="bottom"/>
          </w:tcPr>
          <w:p>
            <w:pPr>
              <w:jc w:val="right"/>
              <w:ind w:right="13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3"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provide information about our financial assets measured and reported at fair value as of June 30, 2022 and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0"/>
              </w:rPr>
              <w:t>June 30, 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192"/>
        </w:trPr>
        <w:tc>
          <w:tcPr>
            <w:tcW w:w="4040" w:type="dxa"/>
            <w:vAlign w:val="bottom"/>
          </w:tcPr>
          <w:p>
            <w:pPr>
              <w:ind w:left="760"/>
              <w:spacing w:after="0" w:line="192" w:lineRule="exact"/>
              <w:rPr>
                <w:sz w:val="20"/>
                <w:szCs w:val="20"/>
                <w:color w:val="auto"/>
              </w:rPr>
            </w:pPr>
            <w:r>
              <w:rPr>
                <w:rFonts w:ascii="Arial" w:cs="Arial" w:eastAsia="Arial" w:hAnsi="Arial"/>
                <w:sz w:val="18"/>
                <w:szCs w:val="18"/>
                <w:color w:val="auto"/>
              </w:rPr>
              <w:t>Total assets at fair value</w:t>
            </w:r>
          </w:p>
        </w:tc>
        <w:tc>
          <w:tcPr>
            <w:tcW w:w="1260" w:type="dxa"/>
            <w:vAlign w:val="bottom"/>
            <w:tcBorders>
              <w:bottom w:val="single" w:sz="8" w:color="auto"/>
            </w:tcBorders>
          </w:tcPr>
          <w:p>
            <w:pPr>
              <w:jc w:val="right"/>
              <w:ind w:right="758"/>
              <w:spacing w:after="0" w:line="19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84"/>
              </w:rPr>
              <w:t>148.6</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758"/>
              <w:spacing w:after="0" w:line="19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99.0</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838"/>
              <w:spacing w:after="0" w:line="19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20"/>
              <w:spacing w:after="0" w:line="19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0"/>
              </w:rPr>
              <w:t>December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assets at fair value</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107.3</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carrying amount of long-term debt is recorded at the unpaid balance, net of debt issuance costs. The fair value of outstanding long-term debt is classified within Level 2 of the fair value hierarchy. The fair value is based on a model referencing observable interest rates and spreads to project and discount cash flows to present value. As of June 30, 2022 and December 31, 2021, the carrying amounts and fair values of these financial instruments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vMerge w:val="restart"/>
          </w:tcPr>
          <w:p>
            <w:pPr>
              <w:jc w:val="center"/>
              <w:ind w:right="263"/>
              <w:spacing w:after="0"/>
              <w:rPr>
                <w:sz w:val="20"/>
                <w:szCs w:val="20"/>
                <w:color w:val="auto"/>
              </w:rPr>
            </w:pPr>
            <w:r>
              <w:rPr>
                <w:rFonts w:ascii="Arial" w:cs="Arial" w:eastAsia="Arial" w:hAnsi="Arial"/>
                <w:sz w:val="14"/>
                <w:szCs w:val="14"/>
                <w:b w:val="1"/>
                <w:bCs w:val="1"/>
                <w:color w:val="auto"/>
                <w:w w:val="94"/>
              </w:rPr>
              <w:t>Carrying Amount</w:t>
            </w:r>
          </w:p>
        </w:tc>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Estimated Fair Value as of</w:t>
            </w:r>
          </w:p>
        </w:tc>
        <w:tc>
          <w:tcPr>
            <w:tcW w:w="1700" w:type="dxa"/>
            <w:vAlign w:val="bottom"/>
          </w:tcPr>
          <w:p>
            <w:pPr>
              <w:jc w:val="center"/>
              <w:ind w:left="425"/>
              <w:spacing w:after="0"/>
              <w:rPr>
                <w:sz w:val="20"/>
                <w:szCs w:val="20"/>
                <w:color w:val="auto"/>
              </w:rPr>
            </w:pPr>
            <w:r>
              <w:rPr>
                <w:rFonts w:ascii="Arial" w:cs="Arial" w:eastAsia="Arial" w:hAnsi="Arial"/>
                <w:sz w:val="14"/>
                <w:szCs w:val="14"/>
                <w:b w:val="1"/>
                <w:bCs w:val="1"/>
                <w:color w:val="auto"/>
                <w:w w:val="94"/>
              </w:rPr>
              <w:t>Carrying Amount</w:t>
            </w:r>
          </w:p>
        </w:tc>
        <w:tc>
          <w:tcPr>
            <w:tcW w:w="44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1"/>
              </w:rPr>
              <w:t>Estimated Fair Value as of</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1700" w:type="dxa"/>
            <w:vAlign w:val="bottom"/>
          </w:tcPr>
          <w:p>
            <w:pPr>
              <w:jc w:val="center"/>
              <w:ind w:left="425"/>
              <w:spacing w:after="0" w:line="133" w:lineRule="exact"/>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89"/>
              </w:rPr>
              <w:t>as of June 30, 2022</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w w:val="96"/>
              </w:rPr>
              <w:t>June 30, 2022</w:t>
            </w:r>
          </w:p>
        </w:tc>
        <w:tc>
          <w:tcPr>
            <w:tcW w:w="1700" w:type="dxa"/>
            <w:vAlign w:val="bottom"/>
            <w:tcBorders>
              <w:bottom w:val="single" w:sz="8" w:color="auto"/>
            </w:tcBorders>
          </w:tcPr>
          <w:p>
            <w:pPr>
              <w:jc w:val="center"/>
              <w:ind w:left="405"/>
              <w:spacing w:after="0"/>
              <w:rPr>
                <w:sz w:val="20"/>
                <w:szCs w:val="20"/>
                <w:color w:val="auto"/>
              </w:rPr>
            </w:pPr>
            <w:r>
              <w:rPr>
                <w:rFonts w:ascii="Arial" w:cs="Arial" w:eastAsia="Arial" w:hAnsi="Arial"/>
                <w:sz w:val="14"/>
                <w:szCs w:val="14"/>
                <w:b w:val="1"/>
                <w:bCs w:val="1"/>
                <w:color w:val="auto"/>
                <w:w w:val="90"/>
              </w:rPr>
              <w:t>December 31, 2021</w:t>
            </w: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5"/>
              </w:rPr>
              <w:t>December 31, 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2"/>
          </w:tcPr>
          <w:p>
            <w:pPr>
              <w:jc w:val="right"/>
              <w:ind w:right="1005"/>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292.3</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304.7</w:t>
            </w:r>
          </w:p>
        </w:tc>
        <w:tc>
          <w:tcPr>
            <w:tcW w:w="1700" w:type="dxa"/>
            <w:vAlign w:val="bottom"/>
            <w:shd w:val="clear" w:color="auto" w:fill="CCEEFF"/>
          </w:tcPr>
          <w:p>
            <w:pPr>
              <w:jc w:val="right"/>
              <w:ind w:right="130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58"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incurred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paid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June 30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June 30</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Incurred losses and LAE attributable to prior accident years was an increase of $0.5 million and a decrease of $8.6 million for the six months ended June 30, 2022 and 2021, respectively. For the six months ended June 30, 2022, the development of incurred losses related to prior periods was primarily related to higher-than-expected reported losses on property damage, collision and comprehensive claims due to inflation. This was partially offset by lower-than-expected LAE on prior accident period claims. For the six months ended June 30, 2021, the development of incurred losses related to prior periods was primarily related to lower-than-expected reported losses on bodily injury and uninsured motorist bodily injury claims and greater than expected recoveries from subrogation and salvage.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3"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following table reflects amounts affecting the condensed consolidated statements of operations and comprehensive loss for reinsurance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4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written: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Direct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130.8</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Assumed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Premiums earned: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Assumed</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Ceded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Losses and LAE incurred:</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Direct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152.2</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Assumed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and LAE incurred</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122"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0"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January 2022, we entered into a $300.0 million five-year term loan, or Term Loan C, with the principal amount due and payable upon maturity on January 27, 2027. Interest is payable quarterly and is determined on a floating interest rate currently calculated on the Secured Overnight Financing Rate, or SOFR, with a 1.0% floor, plus 9.0%, plus 0.26161% per annum. As part of the loan agreement, we issued warrants to the lender to purchase 5.7 million shares of our Class A common stock at a strike price of $9.00 per share. Such warrants will expire on the later of the repayment in full of the Term Loan C or January 27, 2027. The fair value of these warrants at January 27, 2022 was $0.1132 per warrant for a total fair value of $0.6 million.</w:t>
      </w:r>
    </w:p>
    <w:p>
      <w:pPr>
        <w:spacing w:after="0" w:line="98"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Term Loan C contains debt covenants which, among other things, require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earned premium of 12%; or ceasing any customer acquisition spend outside of the Carvana commercial agreement and reducing our monthly cash burn to no greater than $12 million.</w:t>
      </w:r>
    </w:p>
    <w:p>
      <w:pPr>
        <w:spacing w:after="0" w:line="93"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Under the latter set of circumstances, we must issue additional warrants to purchase shares of our Class A common stock equal to 1.0% of the aggregate number of issued and outstanding shares of Class A common stock on a fully-diluted basis as of the date the threshold is reduced. The additional warrants, if issued, would have an exercise price equal to the 30-trading day volume weighted average price of the Class A common stock as of the trading day immediately prior to the triggering date. The additional warrants will expire on the later of the repayment in full of the Term Loan C, January 27, 2027 or the date that falls 12 months after the issuance of these warrants. As of June 30, 2022, the fair value of these 1.0% warrants were immaterial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carrying value of long-term debt as of June 30, 2022 and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3300" w:type="dxa"/>
            <w:vAlign w:val="bottom"/>
            <w:gridSpan w:val="4"/>
          </w:tcPr>
          <w:p>
            <w:pPr>
              <w:jc w:val="right"/>
              <w:ind w:right="858"/>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r>
      <w:tr>
        <w:trPr>
          <w:trHeight w:val="24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C</w:t>
            </w:r>
          </w:p>
        </w:tc>
        <w:tc>
          <w:tcPr>
            <w:tcW w:w="1300" w:type="dxa"/>
            <w:vAlign w:val="bottom"/>
            <w:tcBorders>
              <w:bottom w:val="single" w:sz="8" w:color="CCEEFF"/>
            </w:tcBorders>
            <w:shd w:val="clear" w:color="auto" w:fill="CCEEFF"/>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8"/>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8"/>
        </w:trPr>
        <w:tc>
          <w:tcPr>
            <w:tcW w:w="7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 debt issuance costs and warrants</w:t>
            </w: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8"/>
        </w:trPr>
        <w:tc>
          <w:tcPr>
            <w:tcW w:w="7680" w:type="dxa"/>
            <w:vAlign w:val="bottom"/>
          </w:tcPr>
          <w:p>
            <w:pPr>
              <w:ind w:left="1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292.3</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258"/>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consolidated effective tax rate was zero for the three and six months ended June 30, 2022 and 2021. The difference between these rates and the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rate of 21% was primarily due to a full valuation allowance on our U.S. deferred tax assets.</w:t>
      </w:r>
    </w:p>
    <w:p>
      <w:pPr>
        <w:spacing w:after="0" w:line="15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As of June 30, 2022 and December 31, 2021, we did not have any unrecognized tax benefits for uncertain tax positions and had no interest or penalties related to uncertain tax positions.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performed an estimated ownership change analysis as of June 30, 2022 and determined that we have experienced an ownership change under Section</w:t>
      </w:r>
    </w:p>
    <w:p>
      <w:pPr>
        <w:spacing w:after="0" w:line="51"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382 of the Internal Revenue Code. Accordingly, use of a portion of our net operating losses and tax credit carryforwards are subject to an annual limitation under Section 382. We do not expect to lose any deferred tax assets related to our net operating losses as a result of these limitations.</w:t>
      </w:r>
    </w:p>
    <w:p>
      <w:pPr>
        <w:spacing w:after="0" w:line="348"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COSTS</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January 2022, we instituted an organizational realignment, which included an involuntary workforce reduction, due to inflation and loss cost trends and to further drive efficiency and increased focus on our strategic priorities. We recognized charges of zero and $5.6 million for severance, benefits and related costs as a result of these actions for the three and six months ended June 30, 2022, respectively. The charges resulted in $0.1 million and $3.4 million of cash expenditures for the three and six months ended June 30, 2022, respectively. Additionally, we ceased using certain floors of our corporate headquarters in Columbus, Ohio. To the extent we had no intent or ability to sublease the space, we accelerated the amortization of the related right-of-use assets, leasehold improvements and furniture and fixtures. For subleased space, we recognize sublease income as an offset to amortization of the right-of-use asset. We recognized charges of $0.6 million and $2.1 million for these real estate exit costs for the three and six months ended June 30, 2022, respectively. In addition, we recognized charges of zero and $0.7 million related to accelerated expense for software that no longer has future economic benefit for the three and six months ended June 30, 2022, respectively. We recognized $0.6 million and $8.4 million in total restructuring costs related to the organizational realignment for the three and six months ended June 30, 2022, respectively. These restructuring costs are included in general and administrative expenses on the condensed consolidated statements of operations and comprehensive loss.</w:t>
      </w:r>
    </w:p>
    <w:p>
      <w:pPr>
        <w:spacing w:after="0" w:line="315"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maintain an equity incentive plan for the issuance and grant of equity awards (restricted stock, restricted stock units, or RSUs, and incentive and nonqualified stock options) to our officers, directors, employees and certain advisors. As of June 30, 2022, we had 28.6 million common shares authorized and available for issuance under the plan.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October 2021, we issued Carvana 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 129.1 million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As of June 30, 2022, we determined that all short-term warrants were probable of vesting. Under that scenario, it is not a possible outcome for the long-term warrants to also vest, so they are considered not probable of vesting. We recognized $3.5 million and $8.8 million of warrant compensation expense related to these equity-classified warrants based on progress toward completing the integrated automobile insurance solution for Carvana’s car buying platform, or Integrated Platform, for the three and six months ended June 30, 2022, respectively. This expense is included in sales and marketing of our condensed consolidated statements of operations and comprehensive loss. All of these warrants are out-of-the-money and therefore have no intrinsic value as of June 30, 2022.</w:t>
      </w:r>
    </w:p>
    <w:p>
      <w:pPr>
        <w:spacing w:after="0" w:line="143"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As of June 30, 2022, there was $26.8 million of unrecognized compensation cost related to warrants. The remaining costs are expected to be recognized over a period of approximately two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Share-Based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displays share-based compensation expense recorded in the condensed consolidated statements of operations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470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4700" w:type="dxa"/>
            <w:vAlign w:val="bottom"/>
          </w:tcPr>
          <w:p>
            <w:pPr>
              <w:ind w:left="120"/>
              <w:spacing w:after="0"/>
              <w:rPr>
                <w:sz w:val="20"/>
                <w:szCs w:val="20"/>
                <w:color w:val="auto"/>
              </w:rPr>
            </w:pPr>
            <w:r>
              <w:rPr>
                <w:rFonts w:ascii="Arial" w:cs="Arial" w:eastAsia="Arial" w:hAnsi="Arial"/>
                <w:sz w:val="18"/>
                <w:szCs w:val="18"/>
                <w:color w:val="auto"/>
              </w:rPr>
              <w:t>Other insurance (benefit) expense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total share-based compensation expense by type of award: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160" w:type="dxa"/>
            <w:vAlign w:val="bottom"/>
          </w:tcPr>
          <w:p>
            <w:pPr>
              <w:spacing w:after="0"/>
              <w:rPr>
                <w:sz w:val="15"/>
                <w:szCs w:val="15"/>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179"/>
        </w:trPr>
        <w:tc>
          <w:tcPr>
            <w:tcW w:w="4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4160" w:type="dxa"/>
            <w:vAlign w:val="bottom"/>
          </w:tcPr>
          <w:p>
            <w:pPr>
              <w:ind w:left="440"/>
              <w:spacing w:after="0"/>
              <w:rPr>
                <w:sz w:val="20"/>
                <w:szCs w:val="20"/>
                <w:color w:val="auto"/>
              </w:rPr>
            </w:pPr>
            <w:r>
              <w:rPr>
                <w:rFonts w:ascii="Arial" w:cs="Arial" w:eastAsia="Arial" w:hAnsi="Arial"/>
                <w:sz w:val="18"/>
                <w:szCs w:val="18"/>
                <w:color w:val="auto"/>
              </w:rPr>
              <w:t>Restricted stock unit expense</w:t>
            </w:r>
          </w:p>
        </w:tc>
        <w:tc>
          <w:tcPr>
            <w:tcW w:w="1220" w:type="dxa"/>
            <w:vAlign w:val="bottom"/>
          </w:tcPr>
          <w:p>
            <w:pPr>
              <w:jc w:val="right"/>
              <w:ind w:right="721"/>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80" w:type="dxa"/>
            <w:vAlign w:val="bottom"/>
          </w:tcPr>
          <w:p>
            <w:pPr>
              <w:jc w:val="right"/>
              <w:ind w:right="77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9"/>
        </w:trPr>
        <w:tc>
          <w:tcPr>
            <w:tcW w:w="4160" w:type="dxa"/>
            <w:vAlign w:val="bottom"/>
          </w:tcPr>
          <w:p>
            <w:pPr>
              <w:ind w:left="560"/>
              <w:spacing w:after="0"/>
              <w:rPr>
                <w:sz w:val="20"/>
                <w:szCs w:val="20"/>
                <w:color w:val="auto"/>
              </w:rPr>
            </w:pPr>
            <w:r>
              <w:rPr>
                <w:rFonts w:ascii="Arial" w:cs="Arial" w:eastAsia="Arial" w:hAnsi="Arial"/>
                <w:sz w:val="18"/>
                <w:szCs w:val="18"/>
                <w:color w:val="auto"/>
              </w:rPr>
              <w:t>Total share-based compensation expense</w:t>
            </w:r>
          </w:p>
        </w:tc>
        <w:tc>
          <w:tcPr>
            <w:tcW w:w="122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As part of the January 2022 organizational realignment discussed in Note 9, “Restructuring Costs,” we modified certain share-based awards which resulted in zero and $2.1 million of share-based compensation expense recognized in general and administrative expenses during the three and six months ended June 30, 2022, respectively.</w:t>
      </w:r>
    </w:p>
    <w:p>
      <w:pPr>
        <w:spacing w:after="0" w:line="135"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As of June 30, 2022, there was $3.2 million and $65.2 million of unrecognized compensation cost related to unvested stock options and RSUs, respectively. The remaining costs are expected to be recognized over a period of approximately four years for unvested stock options and four years for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for the six months ended June 30,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jc w:val="right"/>
              <w:ind w:right="517"/>
              <w:spacing w:after="0" w:line="131" w:lineRule="exact"/>
              <w:rPr>
                <w:sz w:val="20"/>
                <w:szCs w:val="20"/>
                <w:color w:val="auto"/>
              </w:rPr>
            </w:pPr>
            <w:r>
              <w:rPr>
                <w:rFonts w:ascii="Arial" w:cs="Arial" w:eastAsia="Arial" w:hAnsi="Arial"/>
                <w:sz w:val="14"/>
                <w:szCs w:val="14"/>
                <w:b w:val="1"/>
                <w:bCs w:val="1"/>
                <w:color w:val="auto"/>
                <w:w w:val="95"/>
              </w:rPr>
              <w:t>Weighted-Average</w:t>
            </w:r>
          </w:p>
        </w:tc>
        <w:tc>
          <w:tcPr>
            <w:tcW w:w="160" w:type="dxa"/>
            <w:vAlign w:val="bottom"/>
          </w:tcPr>
          <w:p>
            <w:pPr>
              <w:spacing w:after="0"/>
              <w:rPr>
                <w:sz w:val="11"/>
                <w:szCs w:val="11"/>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5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Restricted Stock Units</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320" w:type="dxa"/>
            <w:vAlign w:val="bottom"/>
            <w:gridSpan w:val="2"/>
          </w:tcPr>
          <w:p>
            <w:pPr>
              <w:jc w:val="right"/>
              <w:ind w:right="737"/>
              <w:spacing w:after="0" w:line="133" w:lineRule="exact"/>
              <w:rPr>
                <w:sz w:val="20"/>
                <w:szCs w:val="20"/>
                <w:color w:val="auto"/>
              </w:rPr>
            </w:pPr>
            <w:r>
              <w:rPr>
                <w:rFonts w:ascii="Arial" w:cs="Arial" w:eastAsia="Arial" w:hAnsi="Arial"/>
                <w:sz w:val="14"/>
                <w:szCs w:val="14"/>
                <w:b w:val="1"/>
                <w:bCs w:val="1"/>
                <w:color w:val="auto"/>
              </w:rPr>
              <w:t>Grant Date Fair</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2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tcPr>
          <w:p>
            <w:pPr>
              <w:jc w:val="right"/>
              <w:ind w:right="757"/>
              <w:spacing w:after="0"/>
              <w:rPr>
                <w:sz w:val="20"/>
                <w:szCs w:val="20"/>
                <w:color w:val="auto"/>
              </w:rPr>
            </w:pPr>
            <w:r>
              <w:rPr>
                <w:rFonts w:ascii="Arial" w:cs="Arial" w:eastAsia="Arial" w:hAnsi="Arial"/>
                <w:sz w:val="14"/>
                <w:szCs w:val="14"/>
                <w:b w:val="1"/>
                <w:bCs w:val="1"/>
                <w:color w:val="auto"/>
                <w:w w:val="88"/>
              </w:rPr>
              <w:t>Value per Share</w:t>
            </w:r>
          </w:p>
        </w:tc>
        <w:tc>
          <w:tcPr>
            <w:tcW w:w="160" w:type="dxa"/>
            <w:vAlign w:val="bottom"/>
          </w:tcPr>
          <w:p>
            <w:pPr>
              <w:spacing w:after="0"/>
              <w:rPr>
                <w:sz w:val="16"/>
                <w:szCs w:val="16"/>
                <w:color w:val="auto"/>
              </w:rPr>
            </w:pPr>
          </w:p>
        </w:tc>
        <w:tc>
          <w:tcPr>
            <w:tcW w:w="134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592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Pr>
          <w:p>
            <w:pPr>
              <w:spacing w:after="0"/>
              <w:rPr>
                <w:sz w:val="19"/>
                <w:szCs w:val="19"/>
                <w:color w:val="auto"/>
              </w:rPr>
            </w:pPr>
          </w:p>
        </w:tc>
        <w:tc>
          <w:tcPr>
            <w:tcW w:w="1800" w:type="dxa"/>
            <w:vAlign w:val="bottom"/>
          </w:tcPr>
          <w:p>
            <w:pPr>
              <w:jc w:val="right"/>
              <w:ind w:right="397"/>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5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 expired or 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ind w:right="397"/>
              <w:spacing w:after="0"/>
              <w:rPr>
                <w:sz w:val="20"/>
                <w:szCs w:val="20"/>
                <w:color w:val="auto"/>
              </w:rPr>
            </w:pPr>
            <w:r>
              <w:rPr>
                <w:rFonts w:ascii="Arial" w:cs="Arial" w:eastAsia="Arial" w:hAnsi="Arial"/>
                <w:sz w:val="18"/>
                <w:szCs w:val="18"/>
                <w:color w:val="auto"/>
              </w:rPr>
              <w:t>7.07</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June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option activity for the six months ended June 30,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jc w:val="right"/>
              <w:ind w:right="622"/>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Weighted-Average</w:t>
            </w:r>
          </w:p>
        </w:tc>
        <w:tc>
          <w:tcPr>
            <w:tcW w:w="1880" w:type="dxa"/>
            <w:vAlign w:val="bottom"/>
          </w:tcPr>
          <w:p>
            <w:pPr>
              <w:jc w:val="right"/>
              <w:ind w:right="262"/>
              <w:spacing w:after="0" w:line="131" w:lineRule="exact"/>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1"/>
                <w:szCs w:val="11"/>
                <w:color w:val="auto"/>
              </w:rPr>
            </w:pPr>
          </w:p>
        </w:tc>
        <w:tc>
          <w:tcPr>
            <w:tcW w:w="13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4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Options</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88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w w:val="99"/>
              </w:rPr>
              <w:t>Remaining Contractual</w:t>
            </w: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1"/>
              </w:rPr>
              <w:t>Exercise Price</w:t>
            </w:r>
          </w:p>
        </w:tc>
        <w:tc>
          <w:tcPr>
            <w:tcW w:w="1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Term (in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4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9"/>
              </w:rPr>
              <w:t>(in millions, except exercise price and term amounts)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and exercisable at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4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1.19</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 expired or 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4.27</w:t>
            </w:r>
          </w:p>
        </w:tc>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June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8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rPr>
              <w:t>6.12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(the “Exchange Act”) and Rule 10b-5 thereunder, and of Sections 11 and 15 of the Securities Act of 1933 (the “Securities Act”), in connection with and following the Company’s initial public offering. The complaint seeks unspecified damages. The defendants have moved to dismiss the claims set forth in the complaint.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Exchange Act and Rule 10b-5 thereunder, breached their fiduciary duties and/or aided and abetted the breach of fiduciary duties, were unjustly enriched, wasted corporate assets, and are liable under Section 11(f) of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resolution of the motion to dismiss filed by the defendants in the above matter and, at this time, we are unable to predict the outcome and we cannot estimate the likelihood or magnitude of our possible or potential loss contingency.</w:t>
      </w:r>
    </w:p>
    <w:p>
      <w:pPr>
        <w:spacing w:after="0" w:line="101"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122"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AND ACCUMULATED OTHER COMPREHENSIVE (LOSS) INCOME</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(loss) income, or AOCI,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7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7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179"/>
        </w:trPr>
        <w:tc>
          <w:tcPr>
            <w:tcW w:w="5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7"/>
              </w:rPr>
              <w:t>5.6</w:t>
            </w:r>
          </w:p>
        </w:tc>
      </w:tr>
      <w:tr>
        <w:trPr>
          <w:trHeight w:val="225"/>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8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6"/>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center"/>
              <w:ind w:left="577"/>
              <w:spacing w:after="0"/>
              <w:rPr>
                <w:sz w:val="20"/>
                <w:szCs w:val="20"/>
                <w:color w:val="auto"/>
              </w:rPr>
            </w:pPr>
            <w:r>
              <w:rPr>
                <w:rFonts w:ascii="Arial" w:cs="Arial" w:eastAsia="Arial" w:hAnsi="Arial"/>
                <w:sz w:val="18"/>
                <w:szCs w:val="18"/>
                <w:color w:val="auto"/>
                <w:w w:val="91"/>
              </w:rPr>
              <w:t>(5.1)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91"/>
              </w:rPr>
              <w:t>(1.1)</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realized losses (gains) on investments reclassified from AOCI to net loss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1"/>
              </w:rPr>
              <w:t>(2.4)</w:t>
            </w:r>
          </w:p>
        </w:tc>
      </w:tr>
      <w:tr>
        <w:trPr>
          <w:trHeight w:val="218"/>
        </w:trPr>
        <w:tc>
          <w:tcPr>
            <w:tcW w:w="570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8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6"/>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center"/>
              <w:ind w:left="577"/>
              <w:spacing w:after="0"/>
              <w:rPr>
                <w:sz w:val="20"/>
                <w:szCs w:val="20"/>
                <w:color w:val="auto"/>
              </w:rPr>
            </w:pPr>
            <w:r>
              <w:rPr>
                <w:rFonts w:ascii="Arial" w:cs="Arial" w:eastAsia="Arial" w:hAnsi="Arial"/>
                <w:sz w:val="18"/>
                <w:szCs w:val="18"/>
                <w:color w:val="auto"/>
                <w:w w:val="91"/>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91"/>
              </w:rPr>
              <w:t>(3.5)</w:t>
            </w:r>
          </w:p>
        </w:tc>
      </w:tr>
      <w:tr>
        <w:trPr>
          <w:trHeight w:val="244"/>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1"/>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7"/>
              </w:rPr>
              <w:t>2.1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displays the computation of basic and diluted loss per share for both Class A and Class B common stock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7"/>
              </w:rPr>
              <w:t>253.0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2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B)</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per common share: basic and diluted (both Class A and B)</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7134860"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shares subject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stock units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Redeemable convertible preferred stock (as converted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7134860"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to purchase common stock</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21590</wp:posOffset>
            </wp:positionV>
            <wp:extent cx="2044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8"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21590</wp:posOffset>
            </wp:positionV>
            <wp:extent cx="2044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 millions)</w:t>
      </w:r>
    </w:p>
    <w:p>
      <w:pPr>
        <w:spacing w:after="0" w:line="74"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7.4</w:t>
      </w:r>
    </w:p>
    <w:p>
      <w:pPr>
        <w:spacing w:after="0" w:line="58"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color w:val="auto"/>
        </w:rPr>
        <w:t>3.9</w:t>
      </w:r>
    </w:p>
    <w:p>
      <w:pPr>
        <w:spacing w:after="0" w:line="58"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6.0</w:t>
      </w:r>
    </w:p>
    <w:p>
      <w:pPr>
        <w:spacing w:after="0" w:line="5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w:t>
      </w:r>
    </w:p>
    <w:p>
      <w:pPr>
        <w:spacing w:after="0" w:line="5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8"/>
          <w:szCs w:val="18"/>
          <w:color w:val="auto"/>
        </w:rPr>
        <w:t>137.7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10795</wp:posOffset>
            </wp:positionV>
            <wp:extent cx="2044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2"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10795</wp:posOffset>
            </wp:positionV>
            <wp:extent cx="204470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470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1440" w:right="339" w:bottom="1440" w:gutter="0" w:footer="0" w:header="0"/>
          <w:type w:val="continuous"/>
        </w:sectPr>
      </w:pPr>
    </w:p>
    <w:p>
      <w:pPr>
        <w:spacing w:after="0" w:line="8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On August 1, 2022, a subcommittee of our Board of Directors approved a reverse stock split of our Class A common stock and Class B common stock at a ratio of 1-for-18. The reverse stock split will be effected through an amendment to our Amended and Restated Certificate of Incorporation, which is expected to be filed and take effect, or the Effective Time, after market close August 12, 2022.</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At the Effective Time, every 18 issued and outstanding shares of our Class A common stock and Class B common stock will be converted into one share of our Class A common stock and Class B common stock, respectively. Once effective, the reverse stock split will reduce the number of shares of Class A common stock issued and outstanding from approximately 161.2 million to approximately 9.0 million, and will reduce the number of shares of Class B common stock issued and outstanding from approximately 93.8 million to approximately 5.2 million.</w:t>
      </w:r>
    </w:p>
    <w:p>
      <w:pPr>
        <w:spacing w:after="0" w:line="12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a result of the reverse stock split, all historical per share data, number of shares outstanding and other common stock equivalents presented in future financial statements will be retroactively adjusted.</w:t>
      </w:r>
    </w:p>
    <w:p>
      <w:pPr>
        <w:spacing w:after="0" w:line="128"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following table displays the computation of pro forma reverse stock split effected basic and diluted loss per share for both Class A and Class B common stock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14.1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B) - pro forma</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Loss per common share: basic and diluted (both Class A and B) - pro forma</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13"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WRITTEN PREMIUM</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written premium by state is as follows for the three and six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9"/>
              </w:rPr>
              <w:t>Six Months Ended June 30,</w:t>
            </w:r>
          </w:p>
        </w:tc>
        <w:tc>
          <w:tcPr>
            <w:tcW w:w="940" w:type="dxa"/>
            <w:vAlign w:val="bottom"/>
            <w:tcBorders>
              <w:bottom w:val="single" w:sz="8" w:color="auto"/>
            </w:tcBorders>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r>
      <w:tr>
        <w:trPr>
          <w:trHeight w:val="178"/>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 of 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 of 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 of Total</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of Total</w:t>
            </w:r>
          </w:p>
        </w:tc>
      </w:tr>
      <w:tr>
        <w:trPr>
          <w:trHeight w:val="207"/>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20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Texas</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Georgia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10.5</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Louisiana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5.4</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Utah</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4.3</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Missouri</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3.5</w:t>
            </w:r>
          </w:p>
        </w:tc>
      </w:tr>
      <w:tr>
        <w:trPr>
          <w:trHeight w:val="225"/>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35.0</w:t>
            </w:r>
          </w:p>
        </w:tc>
      </w:tr>
      <w:tr>
        <w:trPr>
          <w:trHeight w:val="219"/>
        </w:trPr>
        <w:tc>
          <w:tcPr>
            <w:tcW w:w="204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98" w:lineRule="exact"/>
        <w:rPr>
          <w:sz w:val="20"/>
          <w:szCs w:val="20"/>
          <w:color w:val="auto"/>
        </w:rPr>
      </w:pPr>
    </w:p>
    <w:p>
      <w:pPr>
        <w:ind w:left="320" w:right="200" w:hanging="314"/>
        <w:spacing w:after="0" w:line="284" w:lineRule="auto"/>
        <w:tabs>
          <w:tab w:leader="none" w:pos="20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assumed premiums, which commenced in August 2021. Assumed written premium for the three and six months ended June 30, 2022 was $9.3 million and $23.0 million, respectively. Prior to the fronting carrier commencement, we did not assume any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40" w:firstLine="318"/>
        <w:spacing w:after="0" w:line="30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2021 filed with the Securities and Exchange Commission, or SEC, on February 23, 2022, or the 2021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2021 10-K for a discussion of important factors that could cause our actual results to differ materially from those anticipated in these forward-looking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ind w:right="480" w:firstLine="318"/>
        <w:spacing w:after="0" w:line="365" w:lineRule="auto"/>
        <w:rPr>
          <w:sz w:val="20"/>
          <w:szCs w:val="20"/>
          <w:color w:val="auto"/>
        </w:rPr>
      </w:pPr>
      <w:r>
        <w:rPr>
          <w:rFonts w:ascii="Arial" w:cs="Arial" w:eastAsia="Arial" w:hAnsi="Arial"/>
          <w:sz w:val="15"/>
          <w:szCs w:val="15"/>
          <w:color w:val="auto"/>
        </w:rPr>
        <w:t>Root is a technology company revolutionizing personal insurance with a pricing model based upon fairness and a modern customer experience. We operate primarily a direct-to-consumer model in which we currently acquire the majority of our customers through mobile applications.</w:t>
      </w:r>
    </w:p>
    <w:p>
      <w:pPr>
        <w:spacing w:after="0" w:line="58" w:lineRule="exact"/>
        <w:rPr>
          <w:sz w:val="20"/>
          <w:szCs w:val="20"/>
          <w:color w:val="auto"/>
        </w:rPr>
      </w:pPr>
    </w:p>
    <w:p>
      <w:pPr>
        <w:jc w:val="both"/>
        <w:ind w:right="340" w:firstLine="318"/>
        <w:spacing w:after="0" w:line="318" w:lineRule="auto"/>
        <w:rPr>
          <w:sz w:val="20"/>
          <w:szCs w:val="20"/>
          <w:color w:val="auto"/>
        </w:rPr>
      </w:pPr>
      <w:r>
        <w:rPr>
          <w:rFonts w:ascii="Arial" w:cs="Arial" w:eastAsia="Arial" w:hAnsi="Arial"/>
          <w:sz w:val="15"/>
          <w:szCs w:val="15"/>
          <w:color w:val="auto"/>
        </w:rPr>
        <w:t>We believe the $273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93" w:lineRule="exact"/>
        <w:rPr>
          <w:sz w:val="20"/>
          <w:szCs w:val="20"/>
          <w:color w:val="auto"/>
        </w:rPr>
      </w:pPr>
    </w:p>
    <w:p>
      <w:pPr>
        <w:jc w:val="both"/>
        <w:ind w:right="40" w:firstLine="318"/>
        <w:spacing w:after="0" w:line="271" w:lineRule="auto"/>
        <w:rPr>
          <w:sz w:val="20"/>
          <w:szCs w:val="20"/>
          <w:color w:val="auto"/>
        </w:rPr>
      </w:pPr>
      <w:r>
        <w:rPr>
          <w:rFonts w:ascii="Arial" w:cs="Arial" w:eastAsia="Arial" w:hAnsi="Arial"/>
          <w:sz w:val="17"/>
          <w:szCs w:val="17"/>
          <w:color w:val="auto"/>
        </w:rPr>
        <w:t>We believe the Root advantage is derived from our unique ability to efficiently and effectively bind auto insurance policies quickly, aided by segmenting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24" w:lineRule="exact"/>
        <w:rPr>
          <w:sz w:val="20"/>
          <w:szCs w:val="20"/>
          <w:color w:val="auto"/>
        </w:rPr>
      </w:pPr>
    </w:p>
    <w:p>
      <w:pPr>
        <w:ind w:right="280" w:firstLine="318"/>
        <w:spacing w:after="0" w:line="294" w:lineRule="auto"/>
        <w:rPr>
          <w:sz w:val="20"/>
          <w:szCs w:val="20"/>
          <w:color w:val="auto"/>
        </w:rPr>
      </w:pPr>
      <w:r>
        <w:rPr>
          <w:rFonts w:ascii="Arial" w:cs="Arial" w:eastAsia="Arial" w:hAnsi="Arial"/>
          <w:sz w:val="17"/>
          <w:szCs w:val="17"/>
          <w:color w:val="auto"/>
        </w:rPr>
        <w:t>Our model benefits from portfolio maturity. As we scale the business, our results are disproportionately weighted towards new customers compared to traditional insurance carriers. As we build an underlying base of recurring customers, we expect the following financial impacts:</w:t>
      </w:r>
    </w:p>
    <w:p>
      <w:pPr>
        <w:spacing w:after="0" w:line="104" w:lineRule="exact"/>
        <w:rPr>
          <w:sz w:val="20"/>
          <w:szCs w:val="20"/>
          <w:color w:val="auto"/>
        </w:rPr>
      </w:pPr>
    </w:p>
    <w:p>
      <w:pPr>
        <w:ind w:left="640" w:right="16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loss ratio. </w:t>
      </w:r>
      <w:r>
        <w:rPr>
          <w:rFonts w:ascii="Arial" w:cs="Arial" w:eastAsia="Arial" w:hAnsi="Arial"/>
          <w:sz w:val="18"/>
          <w:szCs w:val="18"/>
          <w:color w:val="auto"/>
        </w:rPr>
        <w:t>Renewal premiums, referring to premiums from a customer’s second term and beyond, have lower loss ratios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premiums in the customer’s first term. As we grow our business, we anticipate, consistent with industry norms, that a greater proportion of our premiums will be from customer renewals and drive down the loss ratio across our portfolio.</w:t>
      </w:r>
    </w:p>
    <w:p>
      <w:pPr>
        <w:spacing w:after="0" w:line="135" w:lineRule="exact"/>
        <w:rPr>
          <w:rFonts w:ascii="Arial" w:cs="Arial" w:eastAsia="Arial" w:hAnsi="Arial"/>
          <w:sz w:val="18"/>
          <w:szCs w:val="18"/>
          <w:color w:val="auto"/>
        </w:rPr>
      </w:pPr>
    </w:p>
    <w:p>
      <w:pPr>
        <w:ind w:left="640" w:right="16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marketing as a percentage of premium. </w:t>
      </w:r>
      <w:r>
        <w:rPr>
          <w:rFonts w:ascii="Arial" w:cs="Arial" w:eastAsia="Arial" w:hAnsi="Arial"/>
          <w:sz w:val="18"/>
          <w:szCs w:val="18"/>
          <w:color w:val="auto"/>
        </w:rPr>
        <w:t>Certain 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35" w:lineRule="exact"/>
        <w:rPr>
          <w:rFonts w:ascii="Arial" w:cs="Arial" w:eastAsia="Arial" w:hAnsi="Arial"/>
          <w:sz w:val="18"/>
          <w:szCs w:val="18"/>
          <w:color w:val="auto"/>
        </w:rPr>
      </w:pPr>
    </w:p>
    <w:p>
      <w:pPr>
        <w:ind w:left="640" w:hanging="316"/>
        <w:spacing w:after="0" w:line="318" w:lineRule="auto"/>
        <w:tabs>
          <w:tab w:leader="none" w:pos="635"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Improved retention. </w:t>
      </w:r>
      <w:r>
        <w:rPr>
          <w:rFonts w:ascii="Arial" w:cs="Arial" w:eastAsia="Arial" w:hAnsi="Arial"/>
          <w:sz w:val="15"/>
          <w:szCs w:val="15"/>
          <w:color w:val="auto"/>
        </w:rPr>
        <w:t>As a young insurance carrier weighted towards new customers, we naturally have a higher percentage of more frequent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shoppers. As our business tenures and our flywheel spins, allowing us to increase our pricing advantage, we will have the opportunity to acquire more long-standing customers and retain those that might naturally shop frequently. In addition to our pricing advantage, we anticipate our expanding relationships with customers through product bundling will demonstrate further improvement in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19" w:lineRule="exact"/>
        <w:rPr>
          <w:sz w:val="20"/>
          <w:szCs w:val="20"/>
          <w:color w:val="auto"/>
        </w:rPr>
      </w:pPr>
    </w:p>
    <w:p>
      <w:pPr>
        <w:ind w:left="640" w:right="50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through enhancements to our usage-based insurance model and take appropriate rate actions. We efficiently acquire customers directly through multiple channels, including embedded, digital (performance), channel media, referrals and agency. Our marketing costs have historically been well below industry averages, although in any given period, these costs can vary by channel mix, by state, or due to seasonality or the competitive environment. Today, we acquire the vast majority of our customers through our mobile app and mobile website. We believe that through prudent investment in and diversification of our marketing channels, including a focus on embedded insurance through our exclusive partnership with Carvana Group, LLC, or Carvana, and leveraging proprietary data science and technology to build out products and relationships that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three years of bringing claims management in-house and are expected to improve as we further embed machine learning into our processes.</w:t>
      </w:r>
    </w:p>
    <w:p>
      <w:pPr>
        <w:spacing w:after="0" w:line="104"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As a full-stack insurance company, we currently employ a “capital-light”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in order to operate a capital light business model. As our business scales, we expect to have the flexibility to reduce our quota share levels to maximize the return to shareholders.</w:t>
      </w:r>
    </w:p>
    <w:p>
      <w:pPr>
        <w:spacing w:after="0" w:line="141"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top-line growth and resulting capital requirements, which are relieved, in part, by obtaining reinsurance. The gross basis metrics include gross written premium, gross earned premium, direct contribution, ratio of direct contribution to total revenue, ratio of direct contribution to gross earned premium, gross loss ratio, gross LAE ratio and gross accident period loss ratio. We believe that adjusted earnings before interest, tax, depreciation, amortization, or adjusted EBITDA, will provide investors with useful insight into the underlying performance of our business. For additional information, including definitions of these metrics, see “— Key Performance Indicators”, and for a reconciliation of our non-GAAP measures to the most directly comparable generally accepted accounting principles in the United States, or GAAP, measures, see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March 2020, the World Health Organization declared COVID-19 a global pandemic. The pandemic and related measures taken to contain the spread of COVID-19, such as government-mandated business closures, “shelter in place” orders, or SIPs,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12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economic instability caused by the COVID-19 pandemic has led to acute inflationary pressures and supply chain disruptions, which have increased the value of used vehicles and replacement parts. These cost increases have resulted in greater claims severity while being partially offset by higher salvage and subrogation recoveries on damaged vehicles. As a result of certain factors related to the COVID-19 global pandemic, we continue to file in multiple states to establish rates that more closely follow the evolving loss cost trends.</w:t>
      </w:r>
    </w:p>
    <w:p>
      <w:pPr>
        <w:spacing w:after="0" w:line="13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As the COVID-19 pandemic continues, there is ongoing uncertainty around the severity and duration of the pandemic and the pandemic’s potential impact on our business and our financial performance. See the section titled “Risk Factors” in the 2021 10-K for more details.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Comprehensive Reinsurance</w:t>
      </w:r>
    </w:p>
    <w:p>
      <w:pPr>
        <w:spacing w:after="0" w:line="170"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We generate revenue primarily from the sale of auto insurance policies within the United States and, to a lesser extent, from the sale of renters insurance policies. We also generate revenue through fee income from our customers paying on installment and from net investment income earned on our investment portfolio. We distribute website and app policy inquiry leads in geographies where we do not have a presence to third parties in exchange for fee revenue. We also generate income or loss from the sale of investments within net realized (losses) gains on investments. We also have agency operations that generate commission revenue by selling homeowners insurance policies on behalf of third-party insurance companies.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Investment Income</w:t>
      </w:r>
    </w:p>
    <w:p>
      <w:pPr>
        <w:spacing w:after="0" w:line="170"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Net investment income represents interest earned from our fixed maturity and short-term investments and cash and cash equivalents less investment expenses. Net investment income is directly correlated with the overall size of our investment portfolio, market level of interest rates and changes in fair value of our private equity investments. Net investment income will vary with the size of our investment portfolio, market returns and the investment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Realized (Losses) Gains on Investments</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Net realized (losses) gains on investments represents the difference between the amount received by us on the sale of an investment as compared to the investment’s amortized cost basis.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operating expenses consist of loss and LAE, sales and marketing, other insurance (benefit) expense, technology and development, and general and administrative expenses.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Various other expenses incurred during claims processing are considered LAE. These amounts include claims salaries, health benefits, bonuses, employee retirement plan related expenses and employee share-based compensation expense, or Personnel Costs; software expense; internally developed software amortization; and overhead allocated based on headcount, or Overhead.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Sales and marketing expense includes spending related to performance and embedded channels, channel media, advertising, branding, public relations, consumer insights and referral fees. These expenses also include related Personnel Costs, Overhead and warrant compensation expense related to our embedded channel. We incur sales and marketing expenses for all product offerings. Sales and marketing are expensed as incurred. Warrant compensation expense is recognized on a pro-rata basis considering progress toward completing the Integrated Platform under the Carvana commercial agreement.</w:t>
      </w:r>
    </w:p>
    <w:p>
      <w:pPr>
        <w:spacing w:after="0" w:line="93"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We expect that in the long 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 Expense</w:t>
      </w:r>
    </w:p>
    <w:p>
      <w:pPr>
        <w:spacing w:after="0" w:line="170"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Other insurance (benefit) expense includes underwriting expenses, credit card and policy processing expenses, premium write-offs, insurance license expenses, and Personnel Costs and Overhead related to actuarial and certain data science activities. Other insurance (benefit) expense also includes amortization of deferred acquisition costs like premium taxes and report costs related to the successful acquisition of a policy. Other insurance (benefit)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2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General and administrative expenses primarily relate to external professional service expenses; Personnel Costs and Overhead for corporate functions; depreciation expense for computers, furniture and other fixed assets; and restructuring costs associated with the organizational realignment. General and administrative expenses are expensed as incurred.</w:t>
      </w:r>
    </w:p>
    <w:p>
      <w:pPr>
        <w:spacing w:after="0" w:line="135" w:lineRule="exact"/>
        <w:rPr>
          <w:sz w:val="20"/>
          <w:szCs w:val="20"/>
          <w:color w:val="auto"/>
        </w:rPr>
      </w:pPr>
    </w:p>
    <w:p>
      <w:pPr>
        <w:ind w:left="320" w:right="340"/>
        <w:spacing w:after="0" w:line="430" w:lineRule="auto"/>
        <w:rPr>
          <w:sz w:val="20"/>
          <w:szCs w:val="20"/>
          <w:color w:val="auto"/>
        </w:rPr>
      </w:pPr>
      <w:r>
        <w:rPr>
          <w:rFonts w:ascii="Arial" w:cs="Arial" w:eastAsia="Arial" w:hAnsi="Arial"/>
          <w:sz w:val="18"/>
          <w:szCs w:val="18"/>
          <w:color w:val="auto"/>
        </w:rPr>
        <w:t xml:space="preserve">We expect general and administrative expenses to continue to increase as a percentage of total revenue in the near term, and then decrease over time. </w:t>
      </w:r>
      <w:r>
        <w:rPr>
          <w:rFonts w:ascii="Arial" w:cs="Arial" w:eastAsia="Arial" w:hAnsi="Arial"/>
          <w:sz w:val="18"/>
          <w:szCs w:val="18"/>
          <w:b w:val="1"/>
          <w:bCs w:val="1"/>
          <w:i w:val="1"/>
          <w:iCs w:val="1"/>
          <w:color w:val="auto"/>
        </w:rPr>
        <w:t>Interest Expense</w:t>
      </w:r>
    </w:p>
    <w:p>
      <w:pPr>
        <w:ind w:right="20" w:firstLine="318"/>
        <w:spacing w:after="0" w:line="277" w:lineRule="auto"/>
        <w:rPr>
          <w:sz w:val="20"/>
          <w:szCs w:val="20"/>
          <w:color w:val="auto"/>
        </w:rPr>
      </w:pPr>
      <w:r>
        <w:rPr>
          <w:rFonts w:ascii="Arial" w:cs="Arial" w:eastAsia="Arial" w:hAnsi="Arial"/>
          <w:sz w:val="17"/>
          <w:szCs w:val="17"/>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direct contribution and adjusted EBITDA and their reconciliations to the most directly comparable 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r>
      <w:tr>
        <w:trPr>
          <w:trHeight w:val="187"/>
        </w:trPr>
        <w:tc>
          <w:tcPr>
            <w:tcW w:w="2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1"/>
        </w:trPr>
        <w:tc>
          <w:tcPr>
            <w:tcW w:w="2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4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5"/>
              </w:rPr>
              <w:t>(dollars in millions, except premiums per policy)</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4"/>
        </w:trPr>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2"/>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Policies in force</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45"/>
        </w:trPr>
        <w:tc>
          <w:tcPr>
            <w:tcW w:w="284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297,716</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373,721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297,716</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373,721</w:t>
            </w: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7,778</w:t>
            </w: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9,103</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7,778</w:t>
            </w: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9,103</w:t>
            </w:r>
          </w:p>
        </w:tc>
        <w:tc>
          <w:tcPr>
            <w:tcW w:w="320" w:type="dxa"/>
            <w:vAlign w:val="bottom"/>
            <w:shd w:val="clear" w:color="auto" w:fill="CCEEFF"/>
          </w:tcPr>
          <w:p>
            <w:pPr>
              <w:spacing w:after="0"/>
              <w:rPr>
                <w:sz w:val="22"/>
                <w:szCs w:val="22"/>
                <w:color w:val="auto"/>
              </w:rPr>
            </w:pPr>
          </w:p>
        </w:tc>
      </w:tr>
      <w:tr>
        <w:trPr>
          <w:trHeight w:val="245"/>
        </w:trPr>
        <w:tc>
          <w:tcPr>
            <w:tcW w:w="2840" w:type="dxa"/>
            <w:vAlign w:val="bottom"/>
          </w:tcPr>
          <w:p>
            <w:pPr>
              <w:ind w:left="340"/>
              <w:spacing w:after="0"/>
              <w:rPr>
                <w:sz w:val="20"/>
                <w:szCs w:val="20"/>
                <w:color w:val="auto"/>
              </w:rPr>
            </w:pPr>
            <w:r>
              <w:rPr>
                <w:rFonts w:ascii="Arial" w:cs="Arial" w:eastAsia="Arial" w:hAnsi="Arial"/>
                <w:sz w:val="18"/>
                <w:szCs w:val="18"/>
                <w:color w:val="auto"/>
              </w:rPr>
              <w:t>Premiums per policy</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Auto</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1,077</w:t>
            </w: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971</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1,077</w:t>
            </w: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971</w:t>
            </w:r>
          </w:p>
        </w:tc>
        <w:tc>
          <w:tcPr>
            <w:tcW w:w="320" w:type="dxa"/>
            <w:vAlign w:val="bottom"/>
            <w:shd w:val="clear" w:color="auto" w:fill="CCEEFF"/>
          </w:tcPr>
          <w:p>
            <w:pPr>
              <w:spacing w:after="0"/>
              <w:rPr>
                <w:sz w:val="22"/>
                <w:szCs w:val="22"/>
                <w:color w:val="auto"/>
              </w:rPr>
            </w:pPr>
          </w:p>
        </w:tc>
      </w:tr>
      <w:tr>
        <w:trPr>
          <w:trHeight w:val="245"/>
        </w:trPr>
        <w:tc>
          <w:tcPr>
            <w:tcW w:w="2840" w:type="dxa"/>
            <w:vAlign w:val="bottom"/>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21"/>
                <w:szCs w:val="21"/>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in force</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45"/>
        </w:trPr>
        <w:tc>
          <w:tcPr>
            <w:tcW w:w="284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641.3</w:t>
            </w:r>
          </w:p>
        </w:tc>
        <w:tc>
          <w:tcPr>
            <w:tcW w:w="520" w:type="dxa"/>
            <w:vAlign w:val="bottom"/>
          </w:tcPr>
          <w:p>
            <w:pPr>
              <w:spacing w:after="0"/>
              <w:rPr>
                <w:sz w:val="21"/>
                <w:szCs w:val="21"/>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725.8</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641.3</w:t>
            </w:r>
          </w:p>
        </w:tc>
        <w:tc>
          <w:tcPr>
            <w:tcW w:w="52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725.8</w:t>
            </w: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2"/>
                <w:szCs w:val="22"/>
                <w:color w:val="auto"/>
              </w:rPr>
            </w:pPr>
          </w:p>
        </w:tc>
      </w:tr>
      <w:tr>
        <w:trPr>
          <w:trHeight w:val="252"/>
        </w:trPr>
        <w:tc>
          <w:tcPr>
            <w:tcW w:w="2840" w:type="dxa"/>
            <w:vAlign w:val="bottom"/>
          </w:tcPr>
          <w:p>
            <w:pPr>
              <w:ind w:left="340"/>
              <w:spacing w:after="0" w:line="251" w:lineRule="exact"/>
              <w:rPr>
                <w:sz w:val="20"/>
                <w:szCs w:val="20"/>
                <w:color w:val="auto"/>
              </w:rPr>
            </w:pPr>
            <w:r>
              <w:rPr>
                <w:rFonts w:ascii="Arial" w:cs="Arial" w:eastAsia="Arial" w:hAnsi="Arial"/>
                <w:sz w:val="18"/>
                <w:szCs w:val="18"/>
                <w:color w:val="auto"/>
              </w:rPr>
              <w:t>Gross written premium</w:t>
            </w:r>
            <w:r>
              <w:rPr>
                <w:rFonts w:ascii="Arial" w:cs="Arial" w:eastAsia="Arial" w:hAnsi="Arial"/>
                <w:sz w:val="22"/>
                <w:szCs w:val="22"/>
                <w:color w:val="auto"/>
                <w:vertAlign w:val="superscript"/>
              </w:rPr>
              <w:t>(1)</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140.1</w:t>
            </w:r>
          </w:p>
        </w:tc>
        <w:tc>
          <w:tcPr>
            <w:tcW w:w="520" w:type="dxa"/>
            <w:vAlign w:val="bottom"/>
          </w:tcPr>
          <w:p>
            <w:pPr>
              <w:spacing w:after="0"/>
              <w:rPr>
                <w:sz w:val="21"/>
                <w:szCs w:val="21"/>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177.1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327.3</w:t>
            </w:r>
          </w:p>
        </w:tc>
        <w:tc>
          <w:tcPr>
            <w:tcW w:w="52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379.6</w:t>
            </w:r>
          </w:p>
        </w:tc>
        <w:tc>
          <w:tcPr>
            <w:tcW w:w="320" w:type="dxa"/>
            <w:vAlign w:val="bottom"/>
          </w:tcPr>
          <w:p>
            <w:pPr>
              <w:spacing w:after="0"/>
              <w:rPr>
                <w:sz w:val="21"/>
                <w:szCs w:val="21"/>
                <w:color w:val="auto"/>
              </w:rPr>
            </w:pPr>
          </w:p>
        </w:tc>
      </w:tr>
      <w:tr>
        <w:trPr>
          <w:trHeight w:val="26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earned premium</w:t>
            </w:r>
            <w:r>
              <w:rPr>
                <w:rFonts w:ascii="Arial" w:cs="Arial" w:eastAsia="Arial" w:hAnsi="Arial"/>
                <w:sz w:val="22"/>
                <w:szCs w:val="22"/>
                <w:color w:val="auto"/>
                <w:vertAlign w:val="superscript"/>
              </w:rPr>
              <w:t>(1)</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170.8</w:t>
            </w:r>
          </w:p>
        </w:tc>
        <w:tc>
          <w:tcPr>
            <w:tcW w:w="5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180.7</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345.5</w:t>
            </w:r>
          </w:p>
        </w:tc>
        <w:tc>
          <w:tcPr>
            <w:tcW w:w="5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340.9</w:t>
            </w:r>
          </w:p>
        </w:tc>
        <w:tc>
          <w:tcPr>
            <w:tcW w:w="320" w:type="dxa"/>
            <w:vAlign w:val="bottom"/>
            <w:shd w:val="clear" w:color="auto" w:fill="CCEEFF"/>
          </w:tcPr>
          <w:p>
            <w:pPr>
              <w:spacing w:after="0"/>
              <w:rPr>
                <w:sz w:val="23"/>
                <w:szCs w:val="23"/>
                <w:color w:val="auto"/>
              </w:rPr>
            </w:pPr>
          </w:p>
        </w:tc>
      </w:tr>
      <w:tr>
        <w:trPr>
          <w:trHeight w:val="245"/>
        </w:trPr>
        <w:tc>
          <w:tcPr>
            <w:tcW w:w="2840" w:type="dxa"/>
            <w:vAlign w:val="bottom"/>
          </w:tcPr>
          <w:p>
            <w:pPr>
              <w:ind w:left="340"/>
              <w:spacing w:after="0"/>
              <w:rPr>
                <w:sz w:val="20"/>
                <w:szCs w:val="20"/>
                <w:color w:val="auto"/>
              </w:rPr>
            </w:pPr>
            <w:r>
              <w:rPr>
                <w:rFonts w:ascii="Arial" w:cs="Arial" w:eastAsia="Arial" w:hAnsi="Arial"/>
                <w:sz w:val="18"/>
                <w:szCs w:val="18"/>
                <w:color w:val="auto"/>
              </w:rPr>
              <w:t>Gross profit/(loss)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1"/>
                <w:szCs w:val="21"/>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(89.9)</w:t>
            </w:r>
          </w:p>
        </w:tc>
        <w:tc>
          <w:tcPr>
            <w:tcW w:w="520" w:type="dxa"/>
            <w:vAlign w:val="bottom"/>
          </w:tcPr>
          <w:p>
            <w:pPr>
              <w:spacing w:after="0"/>
              <w:rPr>
                <w:sz w:val="21"/>
                <w:szCs w:val="21"/>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(178.6)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(166.3)</w:t>
            </w:r>
          </w:p>
        </w:tc>
        <w:tc>
          <w:tcPr>
            <w:tcW w:w="52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(278.2)</w:t>
            </w:r>
          </w:p>
        </w:tc>
        <w:tc>
          <w:tcPr>
            <w:tcW w:w="320" w:type="dxa"/>
            <w:vAlign w:val="bottom"/>
          </w:tcPr>
          <w:p>
            <w:pPr>
              <w:spacing w:after="0"/>
              <w:rPr>
                <w:sz w:val="21"/>
                <w:szCs w:val="21"/>
                <w:color w:val="auto"/>
              </w:rPr>
            </w:pPr>
          </w:p>
        </w:tc>
      </w:tr>
      <w:tr>
        <w:trPr>
          <w:trHeight w:val="259"/>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gross profit/(loss)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22"/>
                <w:szCs w:val="22"/>
                <w:color w:val="auto"/>
              </w:rPr>
            </w:pPr>
          </w:p>
        </w:tc>
      </w:tr>
      <w:tr>
        <w:trPr>
          <w:trHeight w:val="258"/>
        </w:trPr>
        <w:tc>
          <w:tcPr>
            <w:tcW w:w="2840" w:type="dxa"/>
            <w:vAlign w:val="bottom"/>
          </w:tcPr>
          <w:p>
            <w:pPr>
              <w:ind w:left="340"/>
              <w:spacing w:after="0"/>
              <w:rPr>
                <w:sz w:val="20"/>
                <w:szCs w:val="20"/>
                <w:color w:val="auto"/>
              </w:rPr>
            </w:pPr>
            <w:r>
              <w:rPr>
                <w:rFonts w:ascii="Arial" w:cs="Arial" w:eastAsia="Arial" w:hAnsi="Arial"/>
                <w:sz w:val="18"/>
                <w:szCs w:val="18"/>
                <w:color w:val="auto"/>
              </w:rPr>
              <w:t>Direct contribution</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22"/>
                <w:szCs w:val="22"/>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2"/>
                <w:szCs w:val="22"/>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22"/>
                <w:szCs w:val="22"/>
                <w:color w:val="auto"/>
              </w:rPr>
            </w:pPr>
          </w:p>
        </w:tc>
      </w:tr>
      <w:tr>
        <w:trPr>
          <w:trHeight w:val="25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(67.2)</w:t>
            </w: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(165.2)</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(118.4)</w:t>
            </w: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(255.4)</w:t>
            </w:r>
          </w:p>
        </w:tc>
        <w:tc>
          <w:tcPr>
            <w:tcW w:w="320" w:type="dxa"/>
            <w:vAlign w:val="bottom"/>
            <w:shd w:val="clear" w:color="auto" w:fill="CCEEFF"/>
          </w:tcPr>
          <w:p>
            <w:pPr>
              <w:spacing w:after="0"/>
              <w:rPr>
                <w:sz w:val="22"/>
                <w:szCs w:val="22"/>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8"/>
                <w:szCs w:val="18"/>
                <w:color w:val="auto"/>
                <w:w w:val="93"/>
              </w:rPr>
              <w:t>Ratio of adjusted gross profit/(loss)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0.5</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Ratio of adjusted gross profit/(loss) to</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8"/>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840" w:type="dxa"/>
            <w:vAlign w:val="bottom"/>
          </w:tcPr>
          <w:p>
            <w:pPr>
              <w:ind w:left="340"/>
              <w:spacing w:after="0"/>
              <w:rPr>
                <w:sz w:val="20"/>
                <w:szCs w:val="20"/>
                <w:color w:val="auto"/>
              </w:rPr>
            </w:pPr>
            <w:r>
              <w:rPr>
                <w:rFonts w:ascii="Arial" w:cs="Arial" w:eastAsia="Arial" w:hAnsi="Arial"/>
                <w:sz w:val="18"/>
                <w:szCs w:val="18"/>
                <w:color w:val="auto"/>
                <w:w w:val="92"/>
              </w:rPr>
              <w:t>Ratio of direct contribution to total</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revenue</w:t>
            </w:r>
          </w:p>
        </w:tc>
        <w:tc>
          <w:tcPr>
            <w:tcW w:w="6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3.7</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8"/>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40" w:type="dxa"/>
            <w:vAlign w:val="bottom"/>
          </w:tcPr>
          <w:p>
            <w:pPr>
              <w:ind w:left="340"/>
              <w:spacing w:after="0"/>
              <w:rPr>
                <w:sz w:val="20"/>
                <w:szCs w:val="20"/>
                <w:color w:val="auto"/>
              </w:rPr>
            </w:pPr>
            <w:r>
              <w:rPr>
                <w:rFonts w:ascii="Arial" w:cs="Arial" w:eastAsia="Arial" w:hAnsi="Arial"/>
                <w:sz w:val="18"/>
                <w:szCs w:val="18"/>
                <w:color w:val="auto"/>
              </w:rPr>
              <w:t>Gross loss ratio</w:t>
            </w:r>
          </w:p>
        </w:tc>
        <w:tc>
          <w:tcPr>
            <w:tcW w:w="6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87.0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85.6</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LAE ratio</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40" w:type="dxa"/>
            <w:vAlign w:val="bottom"/>
          </w:tcPr>
          <w:p>
            <w:pPr>
              <w:ind w:left="340"/>
              <w:spacing w:after="0"/>
              <w:rPr>
                <w:sz w:val="20"/>
                <w:szCs w:val="20"/>
                <w:color w:val="auto"/>
              </w:rPr>
            </w:pPr>
            <w:r>
              <w:rPr>
                <w:rFonts w:ascii="Arial" w:cs="Arial" w:eastAsia="Arial" w:hAnsi="Arial"/>
                <w:sz w:val="18"/>
                <w:szCs w:val="18"/>
                <w:color w:val="auto"/>
                <w:w w:val="98"/>
              </w:rPr>
              <w:t>Gross accident period loss ratio</w:t>
            </w:r>
          </w:p>
        </w:tc>
        <w:tc>
          <w:tcPr>
            <w:tcW w:w="66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85.2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83.1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840" w:type="dxa"/>
            <w:vAlign w:val="bottom"/>
          </w:tcPr>
          <w:p>
            <w:pPr>
              <w:spacing w:after="0"/>
              <w:rPr>
                <w:sz w:val="20"/>
                <w:szCs w:val="20"/>
                <w:color w:val="auto"/>
              </w:rPr>
            </w:pPr>
            <w:r>
              <w:rPr>
                <w:rFonts w:ascii="Arial" w:cs="Arial" w:eastAsia="Arial" w:hAnsi="Arial"/>
                <w:sz w:val="18"/>
                <w:szCs w:val="18"/>
                <w:color w:val="auto"/>
              </w:rPr>
              <w:t>______________</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41" w:lineRule="exact"/>
        <w:rPr>
          <w:sz w:val="20"/>
          <w:szCs w:val="20"/>
          <w:color w:val="auto"/>
        </w:rPr>
      </w:pPr>
    </w:p>
    <w:p>
      <w:pPr>
        <w:ind w:left="320" w:right="20" w:hanging="314"/>
        <w:spacing w:after="0" w:line="251" w:lineRule="auto"/>
        <w:tabs>
          <w:tab w:leader="none" w:pos="20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premiums assumed from the fronting carrier that commenced in August 2021. Assumed written premium for the three and six months ended June 30, 2022 was $9.3 million and $23.0 million, respectively. Assumed earned premium for the three and six months ended June 30, 2022 was $11.5 million and $20.7 million, respectively. Prior to the fronting carrier commencement, we did not assume any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Policies in Force</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per Policy</w:t>
      </w:r>
    </w:p>
    <w:p>
      <w:pPr>
        <w:spacing w:after="0" w:line="170"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We define premiums per policy as the ratio of gross written premium on policies in force at the end of the period divided by policies in force. We view premiums per policy as an important metric since the higher the premiums per policy the greater the amount of earned premium we expect from each policy.</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in Force</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define premiums in force for our auto policies as premiums per policy multiplied by policies in force multiplied by two. We view premiums in force as an estimate of annualized run rate of gross written premium as of a given period. Since our auto policies are six-month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Written Premium</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define gross written premium as the total amount of gross premium on policies that were bound during the period less the prorated impact of policy cancellations. Gross written premiums include direct premiums and assumed premiums. We began assuming premium during the third quarter of 2021 in connection with our entry into an arrangement with a fronting carrier in Texas. We view gross written premium as an important metric because it is the metric that most closely correlates with our growth in gross earned premium. We use gross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Earned Premium</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define gross earned premium as the amount of gross premium that was earned during the period. Premiums are earned over the period in which insurance protection is provided, which is typically six months. Gross earned premium includes direct premiums and assumed premiums. We began assuming premium during the third quarter of 2021 in connection with our entry into an arrangement with a fronting carrier in Texas. We view gross earned premium as an important metric as it allows us to evaluate our growth prior to the impacts of reinsurance. It is the primary driver of our consolidated GAAP revenues. As with gross written premium, we use gross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Profit/(Loss)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define gross profit/(loss) as total revenue minus net loss and LAE and other insurance (benefit) expense inclusive of depreciation and amortization.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We view gross profit/(loss) as an important metric because we believe it is informative of the financial performance of our core insurance business.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(benefit) expense. After these adjustments, the resulting calculation is inclusive of only those gross variable costs of revenue incurred on the successful acquisition of business, but exclusive of net ceding commission, ceded loss and LAE and other impacts of reinsurance ceded. We view direct contribution as an important metric because we believe it measures progress towards the profitability of our total policy portfolio prior to the impact of reinsurance.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EBITDA</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define adjusted EBITDA, a non-GAAP financial measure, as net loss excluding interest expense, income tax expense, depreciation and amortization, share-based compensation, warrant compensation expense and restructuring charges.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substitute for net loss calculated in accordance with GAAP, and other companies may define adjusted EBITDA differently.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net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Adjusted Gross Profit/(Loss) to Gross Earned Premium</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ratio of adjusted gross profit/(loss) to gross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gross earned premium as the denominator in calculating this ratio because it reflects business volume free of elective capital-light choices related to our reinsurance programs. As discussed above in gross written premium, this key performance indicator has been updated to include assumed earned premiums in the calculation of ratio of adjusted gross profit/(loss) to gross earned premium during the third quarter of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5"/>
                <w:szCs w:val="15"/>
                <w:color w:val="auto"/>
              </w:rPr>
            </w:pPr>
          </w:p>
        </w:tc>
        <w:tc>
          <w:tcPr>
            <w:tcW w:w="274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4"/>
        </w:trPr>
        <w:tc>
          <w:tcPr>
            <w:tcW w:w="4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gridSpan w:val="3"/>
          </w:tcPr>
          <w:p>
            <w:pPr>
              <w:ind w:left="700"/>
              <w:spacing w:after="0"/>
              <w:rPr>
                <w:sz w:val="20"/>
                <w:szCs w:val="20"/>
                <w:color w:val="auto"/>
              </w:rPr>
            </w:pPr>
            <w:r>
              <w:rPr>
                <w:rFonts w:ascii="Arial" w:cs="Arial" w:eastAsia="Arial" w:hAnsi="Arial"/>
                <w:sz w:val="14"/>
                <w:szCs w:val="14"/>
                <w:b w:val="1"/>
                <w:bCs w:val="1"/>
                <w:color w:val="auto"/>
                <w:w w:val="95"/>
              </w:rPr>
              <w:t>(dollars in millions)</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13.2</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9"/>
              <w:spacing w:after="0"/>
              <w:rPr>
                <w:sz w:val="20"/>
                <w:szCs w:val="20"/>
                <w:color w:val="auto"/>
              </w:rPr>
            </w:pPr>
            <w:r>
              <w:rPr>
                <w:rFonts w:ascii="Arial" w:cs="Arial" w:eastAsia="Arial" w:hAnsi="Arial"/>
                <w:sz w:val="18"/>
                <w:szCs w:val="18"/>
                <w:color w:val="auto"/>
              </w:rPr>
              <w:t>170.8</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23"/>
                <w:szCs w:val="23"/>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9"/>
              <w:spacing w:after="0"/>
              <w:rPr>
                <w:sz w:val="20"/>
                <w:szCs w:val="20"/>
                <w:color w:val="auto"/>
              </w:rPr>
            </w:pPr>
            <w:r>
              <w:rPr>
                <w:rFonts w:ascii="Arial" w:cs="Arial" w:eastAsia="Arial" w:hAnsi="Arial"/>
                <w:sz w:val="18"/>
                <w:szCs w:val="18"/>
                <w:color w:val="auto"/>
              </w:rPr>
              <w:t>345.5</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340.9</w:t>
            </w:r>
          </w:p>
        </w:tc>
      </w:tr>
      <w:tr>
        <w:trPr>
          <w:trHeight w:val="25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Ratio of adjusted gross profit/(loss) to gross earned premium</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(2.1)%</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Direct Contribution to Gross Earned Premium</w:t>
      </w:r>
    </w:p>
    <w:p>
      <w:pPr>
        <w:spacing w:after="0" w:line="17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ratio of direct contribution to gross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 gross earned premium as the denominator in calculating this ratio because it reflects business volume free of elective capital-light cession or commission structure choices from our reinsurance ceded programs. As discussed above in gross written premium, this key performance indicator has been updated to include assumed earned premiums in the calculation of ratio of direct contribution to gross earned premium during the third quarter of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272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4"/>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(dollars in millions)</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direct contribution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22.8</w:t>
            </w:r>
          </w:p>
        </w:tc>
      </w:tr>
      <w:tr>
        <w:trPr>
          <w:trHeight w:val="265"/>
        </w:trPr>
        <w:tc>
          <w:tcPr>
            <w:tcW w:w="444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1000" w:type="dxa"/>
            <w:vAlign w:val="bottom"/>
          </w:tcPr>
          <w:p>
            <w:pPr>
              <w:jc w:val="right"/>
              <w:ind w:right="80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170.8</w:t>
            </w:r>
          </w:p>
        </w:tc>
        <w:tc>
          <w:tcPr>
            <w:tcW w:w="104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6"/>
              <w:spacing w:after="0"/>
              <w:rPr>
                <w:sz w:val="20"/>
                <w:szCs w:val="20"/>
                <w:color w:val="auto"/>
              </w:rPr>
            </w:pPr>
            <w:r>
              <w:rPr>
                <w:rFonts w:ascii="Arial" w:cs="Arial" w:eastAsia="Arial" w:hAnsi="Arial"/>
                <w:sz w:val="18"/>
                <w:szCs w:val="18"/>
                <w:color w:val="auto"/>
                <w:w w:val="88"/>
              </w:rPr>
              <w:t>180.7</w:t>
            </w:r>
          </w:p>
        </w:tc>
        <w:tc>
          <w:tcPr>
            <w:tcW w:w="80" w:type="dxa"/>
            <w:vAlign w:val="bottom"/>
          </w:tcPr>
          <w:p>
            <w:pPr>
              <w:spacing w:after="0"/>
              <w:rPr>
                <w:sz w:val="23"/>
                <w:szCs w:val="23"/>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9"/>
              <w:spacing w:after="0"/>
              <w:rPr>
                <w:sz w:val="20"/>
                <w:szCs w:val="20"/>
                <w:color w:val="auto"/>
              </w:rPr>
            </w:pPr>
            <w:r>
              <w:rPr>
                <w:rFonts w:ascii="Arial" w:cs="Arial" w:eastAsia="Arial" w:hAnsi="Arial"/>
                <w:sz w:val="18"/>
                <w:szCs w:val="18"/>
                <w:color w:val="auto"/>
              </w:rPr>
              <w:t>345.5</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340.9</w:t>
            </w:r>
          </w:p>
        </w:tc>
      </w:tr>
      <w:tr>
        <w:trPr>
          <w:trHeight w:val="25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w:t>
            </w: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(2.1)%</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Loss Ratio</w:t>
      </w:r>
    </w:p>
    <w:p>
      <w:pPr>
        <w:spacing w:after="0" w:line="17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We define gross loss ratio, expressed as a percentage, as the ratio of gross losses to gross earned premium. Gross loss ratio excludes LAE. We view gross loss ratio as an important metric because it allows us to evaluate incurred losses and LAE separately prior to the impact of reinsurance. As discussed above in gross written premium, this key performance indicator has been changed to include assumed losses and assumed earned premiums in the calculation of gross loss ratio beginning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LAE Ratio</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define gross LAE ratio, expressed as a percentage, as the ratio of gross LAE to gross earned premium.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As discussed above in gross written premium, this key performance indicator has been changed to include assumed LAE and assumed earned premium in the calculation of gross LAE ratio beginning during the third quarter of 2021.</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Accident Period Loss Ratio</w:t>
      </w:r>
    </w:p>
    <w:p>
      <w:pPr>
        <w:spacing w:after="0" w:line="17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Gross accident period loss ratio, expressed as a percentage, represents all losses and claims expected to arise from insured events that occurred during the applicable period regardless of when they are reported and finally settled divided by gross earned premiums for the same period. Changes to our ultimate loss estimates from prior periods are the primary driver of the difference between our gross accident period loss ratio and gross loss ratio. We believe that gross accident period loss ratio is useful in evaluating expected losses prior to the impact of reinsurance. As discussed above in gross written premium, this key performance indicator has been changed to include assumed accident period losses and assumed earned premium in the calculation of gross accident period loss ratio beginning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jc w:val="both"/>
        <w:ind w:left="6500"/>
        <w:spacing w:after="0"/>
        <w:tabs>
          <w:tab w:leader="none" w:pos="7760" w:val="left"/>
          <w:tab w:leader="none" w:pos="8920" w:val="left"/>
          <w:tab w:leader="none" w:pos="102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premiums earned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investment income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realized losses on investments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 and other income</w:t>
      </w:r>
    </w:p>
    <w:p>
      <w:pPr>
        <w:spacing w:after="0" w:line="71" w:lineRule="exact"/>
        <w:rPr>
          <w:sz w:val="20"/>
          <w:szCs w:val="20"/>
          <w:color w:val="auto"/>
        </w:rPr>
      </w:pPr>
    </w:p>
    <w:p>
      <w:pPr>
        <w:jc w:val="center"/>
        <w:ind w:right="3820"/>
        <w:spacing w:after="0"/>
        <w:rPr>
          <w:sz w:val="20"/>
          <w:szCs w:val="20"/>
          <w:color w:val="auto"/>
        </w:rPr>
      </w:pPr>
      <w:r>
        <w:rPr>
          <w:rFonts w:ascii="Arial" w:cs="Arial" w:eastAsia="Arial" w:hAnsi="Arial"/>
          <w:sz w:val="18"/>
          <w:szCs w:val="18"/>
          <w:color w:val="auto"/>
        </w:rPr>
        <w:t>Total revenues</w:t>
      </w:r>
    </w:p>
    <w:p>
      <w:pPr>
        <w:spacing w:after="0" w:line="58"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Operating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and loss adjustment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insurance benefit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and development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66"/>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31"/>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09"/>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420.0 %</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66"/>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r>
      <w:tr>
        <w:trPr>
          <w:trHeight w:val="231"/>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-2211705</wp:posOffset>
            </wp:positionV>
            <wp:extent cx="7134860" cy="168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-1875155</wp:posOffset>
            </wp:positionV>
            <wp:extent cx="7134860"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-1529715</wp:posOffset>
            </wp:positionV>
            <wp:extent cx="7134860" cy="168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-1193165</wp:posOffset>
            </wp:positionV>
            <wp:extent cx="7134860"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-856615</wp:posOffset>
            </wp:positionV>
            <wp:extent cx="7134860" cy="168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-520065</wp:posOffset>
            </wp:positionV>
            <wp:extent cx="7134860" cy="176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-167005</wp:posOffset>
            </wp:positionV>
            <wp:extent cx="7134860" cy="176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loss:</w:t>
            </w: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Changes in net unrealized losses on investments</w:t>
            </w: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83"/>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Net premiums earned decreased $6.5 million, or 8.0%, to $74.7 million for the three months ended June 30, 2022 compared to the same period in 2021. The decrease was primarily due to lower policies in force as a result of reduced marketing expenditures, partially offset by an increase in premium per policy resulting from rate actions.</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During the three months ended June 30, 2022 and 2021, we ceded approximately 56.3% and 55.1% of our gross earned premiums to third-party reinsurers, respectively. The change in ceding percentage between the periods was primarily driven by a higher proportion of our gross earned premiums being subject to reinsurance treaties, partially offset by the decrease in gross earned premiums.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119"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three months ended June 30,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 June 30,</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6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5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65"/>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8"/>
        </w:trPr>
        <w:tc>
          <w:tcPr>
            <w:tcW w:w="604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8"/>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The decrease in gross earned premium was primarily due to lower gross written premium as a result of reducing marketing expenditures. This decrease was partially offset by a 10.9% increase in premium per policy for automobile insurance primarily attributable to rate actions.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Loss and LAE decreased $14.5 million, or 13.2%, to $95.7 million for the three months ended June 30, 2022 compared to the same period ended in 2021. The decrease was primarily driven by lower net earned premiums and growth in average premium per policy primarily attributable to rate actions and improved tenure mix as our book of business matures.</w:t>
      </w:r>
    </w:p>
    <w:p>
      <w:pPr>
        <w:spacing w:after="0" w:line="13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Gross accident period loss ratios decreased to 85.2% from 89.9% for the three months ended June 30, 2022 and 2021, respectively. The improvement in the ratios was driven by higher average premium per policy and improved tenure mix as our book of business matures. This was partially offset by higher loss severity per claim due to inflation, as the industry experienced higher replacement parts cost and growth in used car values. We experienced an 8% increase in severity per claim for the three months ended June 30, 2022 compared to the same period in 2021. The claim severity estimates are based on bodily injury, collision and property damage coverages.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Sales and marketing expense decreased $86.3 million, or 77.3%, to $25.4 million for the three months ended June 30, 2022 compared to the same period in 2021. The decrease was primarily due to a decline in performance marketing of $82.5 million and branding and advertising of $14.0 million as a result of lower marketing expenditures. This was partially offset by an increase of $6.5 million in content development and partnership marketing expense as we focus on diversifying our marketing channels compared to the prior year period and by $3.5 million of warrant compensation expense related to progress toward completing the Integrated Platform pursuant to the Carvana commercial agreement.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Other insurance benefit increased $6.3 million, or 420.0%, to $7.8 million for the three months ended June 30, 2022 compared to the same period in 2021. The increase was primarily driven by lower underwriting costs, premium taxes, and policy processing expenses of $7.6 million as well as lower premium write offs of $0.5 million. This is partially offset by a $2.2 million decrease in ceding commission contra-expense net of sliding scale commission expense due to the decrease in gross written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General and administrative increased $5.9 million, or 24.6%, to $29.9 million for the three months ended June 30, 2022 compared to the same period in 2021. The increase was driven by an increase of $3.0 million in share based compensation expenses relating to our equity incentive plan and a $2.2 million increase in employee-related costs compared to the same period in 2021. In addition, we incurred $0.6 million in restructuring costs related to an organizational realignment. This was partially offset by a decrease in professional services of $1.4 million driven by a decrease in consulting services.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Six Months Ended June 30,</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1"/>
        </w:trPr>
        <w:tc>
          <w:tcPr>
            <w:tcW w:w="6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4"/>
        </w:trPr>
        <w:tc>
          <w:tcPr>
            <w:tcW w:w="604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Other insurance (benefit)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(855.6)%</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65"/>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41.3 %</w:t>
            </w:r>
          </w:p>
        </w:tc>
      </w:tr>
      <w:tr>
        <w:trPr>
          <w:trHeight w:val="259"/>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Changes in net unrealized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42.9 %</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premiums earned increased $12.7 million, or 9.1%, to $153.0 million, for the six months ended June 30, 2022, compared to the same period in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growth in gross earned premium and lower cession rates on gross earned premiums.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19"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During the six months ended June 30, 2022 and 2021, we ceded approximately 55.7% and 58.8% of our gross earned premiums to third-party reinsurers, respectively. The change in ceding percentage between periods was primarily driven by retaining a larger share of our renewal book of business.</w:t>
      </w:r>
    </w:p>
    <w:p>
      <w:pPr>
        <w:spacing w:after="0" w:line="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six months ended June 30,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Six Months Ended June 30,</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8"/>
              </w:rPr>
              <w:t>327.3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379.6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6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1"/>
              </w:rPr>
              <w:t>(183.5)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258"/>
              <w:spacing w:after="0"/>
              <w:rPr>
                <w:sz w:val="20"/>
                <w:szCs w:val="20"/>
                <w:color w:val="auto"/>
              </w:rPr>
            </w:pPr>
            <w:r>
              <w:rPr>
                <w:rFonts w:ascii="Arial" w:cs="Arial" w:eastAsia="Arial" w:hAnsi="Arial"/>
                <w:sz w:val="18"/>
                <w:szCs w:val="18"/>
                <w:color w:val="auto"/>
                <w:w w:val="91"/>
              </w:rPr>
              <w:t>(199.3)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8"/>
              </w:rPr>
              <w:t>143.8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180.3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65"/>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314"/>
              <w:spacing w:after="0"/>
              <w:rPr>
                <w:sz w:val="20"/>
                <w:szCs w:val="20"/>
                <w:color w:val="auto"/>
              </w:rPr>
            </w:pPr>
            <w:r>
              <w:rPr>
                <w:rFonts w:ascii="Arial" w:cs="Arial" w:eastAsia="Arial" w:hAnsi="Arial"/>
                <w:sz w:val="18"/>
                <w:szCs w:val="18"/>
                <w:color w:val="auto"/>
                <w:w w:val="88"/>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8"/>
              <w:spacing w:after="0"/>
              <w:rPr>
                <w:sz w:val="20"/>
                <w:szCs w:val="20"/>
                <w:color w:val="auto"/>
              </w:rPr>
            </w:pPr>
            <w:r>
              <w:rPr>
                <w:rFonts w:ascii="Arial" w:cs="Arial" w:eastAsia="Arial" w:hAnsi="Arial"/>
                <w:sz w:val="18"/>
                <w:szCs w:val="18"/>
                <w:color w:val="auto"/>
                <w:w w:val="88"/>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8"/>
        </w:trPr>
        <w:tc>
          <w:tcPr>
            <w:tcW w:w="604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0"/>
                <w:szCs w:val="20"/>
                <w:color w:val="auto"/>
              </w:rPr>
            </w:pPr>
          </w:p>
        </w:tc>
        <w:tc>
          <w:tcPr>
            <w:tcW w:w="920" w:type="dxa"/>
            <w:vAlign w:val="bottom"/>
          </w:tcPr>
          <w:p>
            <w:pPr>
              <w:jc w:val="center"/>
              <w:ind w:left="274"/>
              <w:spacing w:after="0"/>
              <w:rPr>
                <w:sz w:val="20"/>
                <w:szCs w:val="20"/>
                <w:color w:val="auto"/>
              </w:rPr>
            </w:pPr>
            <w:r>
              <w:rPr>
                <w:rFonts w:ascii="Arial" w:cs="Arial" w:eastAsia="Arial" w:hAnsi="Arial"/>
                <w:sz w:val="18"/>
                <w:szCs w:val="18"/>
                <w:color w:val="auto"/>
                <w:w w:val="91"/>
              </w:rPr>
              <w:t>(192.5)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center"/>
              <w:ind w:left="258"/>
              <w:spacing w:after="0"/>
              <w:rPr>
                <w:sz w:val="20"/>
                <w:szCs w:val="20"/>
                <w:color w:val="auto"/>
              </w:rPr>
            </w:pPr>
            <w:r>
              <w:rPr>
                <w:rFonts w:ascii="Arial" w:cs="Arial" w:eastAsia="Arial" w:hAnsi="Arial"/>
                <w:sz w:val="18"/>
                <w:szCs w:val="18"/>
                <w:color w:val="auto"/>
                <w:w w:val="91"/>
              </w:rPr>
              <w:t>(200.6)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8"/>
              </w:rPr>
              <w:t>153.0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140.3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8"/>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right="520" w:firstLine="318"/>
        <w:spacing w:after="0" w:line="255" w:lineRule="auto"/>
        <w:rPr>
          <w:sz w:val="20"/>
          <w:szCs w:val="20"/>
          <w:color w:val="auto"/>
        </w:rPr>
      </w:pPr>
      <w:r>
        <w:rPr>
          <w:rFonts w:ascii="Arial" w:cs="Arial" w:eastAsia="Arial" w:hAnsi="Arial"/>
          <w:sz w:val="18"/>
          <w:szCs w:val="18"/>
          <w:color w:val="auto"/>
        </w:rPr>
        <w:t>Gross earned premium growth was primarily due to a 10.9% increase in premium per policy for automobile insurance primarily resulting from rate actions and improved customer retention between the periods. This increase was partially offset by lower gross written premium as a result of reducing marketing expenditures.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Loss and LAE increased $22.3 million, or 13.1%, to $192.4 million for the six months ended June 30, 2022 compared to the same period in 2021. The increase was primarily due to growth in net earned premiums for the six months ended June 30, 2022 compared to the same period in 2021. In addition, the six months ended June 30, 2021 includes $8.6 million in favorable prior accident years development, while the same period in 2022 was impacted slightly by unfavorable prior accident years development. For further information on prior accident years development, see Note 5, “Loss and Loss Adjustment Expense Reserves,” in the Notes to Condensed Consolidated Financial Statements.</w:t>
      </w:r>
    </w:p>
    <w:p>
      <w:pPr>
        <w:spacing w:after="0" w:line="141"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Gross accident period loss ratios decreased to 83.1% from 83.4% for the six months ended June 30, 2022 and 2021, respectively. The change in the ratios was driven by growth in average premium per policy primarily attributable to rate actions and improved tenure mix as our book of business matures. This was offset by higher loss costs from increased severity per claim due to inflation, as the industry experienced higher replacement parts cost and growth in used car values. We experienced a 10% increase in severity per claim and 2% increase in claim frequency for the six months ended June 30, 2022 compared to the same period in 2021. The claim severity and frequency estimates are based on bodily injury, collision and property damage coverages.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Sales and marketing expense decreased $140.0 million, or 77.7%, to $40.1 million for the six months ended June 30, 2022 compared to the same period in 2021. The decrease was primarily due to a decline in performance marketing of $128.4 million and branding and advertising of $26.0 million as a result of lower marketing expenditures. This was partially offset by $8.8 million of warrant compensation expense related to progress toward completing the Integrated Platform pursuant to the Carvana commercial agreement and an increase of $6.4 million in content development and partnership marketing expense as we focus on diversifying our marketing channels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 Expense</w:t>
      </w:r>
    </w:p>
    <w:p>
      <w:pPr>
        <w:spacing w:after="0" w:line="170"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Other insurance (benefit) expense decreased $7.7 million, or 855.6%, to a benefit of $6.8 million for the six months ended June 30, 2022 compared to the same period in 2021. The decrease was primarily driven by lower underwriting costs and premium taxes of $12.5 million. This is partially offset by a $5.5 million decrease in ceding commission contra-expense net of sliding scale commission expense due to the decrease in gross written premiums.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General and administrative increased $17.5 million, or 41.3%, to $59.9 million for the six months ended June 30, 2022 compared to the same period in 2021. The increase was driven by $8.4 million restructuring costs related to an organizational realignment. In addition, an increase of $5.0 million in employee-related costs and an increase of $4.5 million in share-based compensation expenses relating to our equity incentive plan compared to the same period in 2021. This was partially offset by a decrease in professional services of $1.9 million driven by a decrease in consulting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adjusted gross profit/(loss),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26"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a reconciliation of total revenue to adjusted gross profit/(loss) and direct contribution for the three and six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44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7"/>
                <w:szCs w:val="17"/>
                <w:color w:val="auto"/>
              </w:rPr>
            </w:pPr>
          </w:p>
        </w:tc>
        <w:tc>
          <w:tcPr>
            <w:tcW w:w="274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4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4"/>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158.4</w:t>
            </w:r>
          </w:p>
        </w:tc>
      </w:tr>
      <w:tr>
        <w:trPr>
          <w:trHeight w:val="265"/>
        </w:trPr>
        <w:tc>
          <w:tcPr>
            <w:tcW w:w="444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1000" w:type="dxa"/>
            <w:vAlign w:val="bottom"/>
          </w:tcPr>
          <w:p>
            <w:pPr>
              <w:spacing w:after="0"/>
              <w:rPr>
                <w:sz w:val="23"/>
                <w:szCs w:val="23"/>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3"/>
              </w:rPr>
              <w:t>(95.7)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(170.1)</w:t>
            </w: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1000" w:type="dxa"/>
            <w:vAlign w:val="bottom"/>
          </w:tcPr>
          <w:p>
            <w:pPr>
              <w:jc w:val="right"/>
              <w:ind w:right="79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(12.6)</w:t>
            </w:r>
          </w:p>
        </w:tc>
      </w:tr>
      <w:tr>
        <w:trPr>
          <w:trHeight w:val="28"/>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Less: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Net realized losses (gains) on investments</w:t>
            </w:r>
          </w:p>
        </w:tc>
        <w:tc>
          <w:tcPr>
            <w:tcW w:w="1000" w:type="dxa"/>
            <w:vAlign w:val="bottom"/>
          </w:tcPr>
          <w:p>
            <w:pPr>
              <w:spacing w:after="0"/>
              <w:rPr>
                <w:sz w:val="23"/>
                <w:szCs w:val="23"/>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(2.4)</w:t>
            </w:r>
          </w:p>
        </w:tc>
      </w:tr>
      <w:tr>
        <w:trPr>
          <w:trHeight w:val="26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2"/>
                <w:szCs w:val="22"/>
                <w:color w:val="auto"/>
                <w:vertAlign w:val="superscript"/>
              </w:rPr>
              <w:t>(1)</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29.8</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100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13.2</w:t>
            </w:r>
          </w:p>
        </w:tc>
      </w:tr>
      <w:tr>
        <w:trPr>
          <w:trHeight w:val="28"/>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99.5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200.6</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1000" w:type="dxa"/>
            <w:vAlign w:val="bottom"/>
          </w:tcPr>
          <w:p>
            <w:pPr>
              <w:spacing w:after="0"/>
              <w:rPr>
                <w:sz w:val="20"/>
                <w:szCs w:val="20"/>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3"/>
              </w:rPr>
              <w:t>(69.7)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(140.8)</w:t>
            </w:r>
          </w:p>
        </w:tc>
      </w:tr>
      <w:tr>
        <w:trPr>
          <w:trHeight w:val="28"/>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2"/>
                <w:szCs w:val="22"/>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(27.0)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(50.2)</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1000" w:type="dxa"/>
            <w:vAlign w:val="bottom"/>
          </w:tcPr>
          <w:p>
            <w:pPr>
              <w:spacing w:after="0"/>
              <w:rPr>
                <w:sz w:val="20"/>
                <w:szCs w:val="20"/>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22.8</w:t>
            </w:r>
          </w:p>
        </w:tc>
      </w:tr>
      <w:tr>
        <w:trPr>
          <w:trHeight w:val="28"/>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100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170.8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340.9</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Ratio of adjusted gross profit/(loss) to gross earned premium</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45" w:lineRule="exact"/>
        <w:rPr>
          <w:sz w:val="20"/>
          <w:szCs w:val="20"/>
          <w:color w:val="auto"/>
        </w:rPr>
      </w:pPr>
    </w:p>
    <w:p>
      <w:pPr>
        <w:ind w:left="200" w:hanging="194"/>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69" w:lineRule="exact"/>
        <w:rPr>
          <w:rFonts w:ascii="Arial" w:cs="Arial" w:eastAsia="Arial" w:hAnsi="Arial"/>
          <w:sz w:val="14"/>
          <w:szCs w:val="14"/>
          <w:color w:val="auto"/>
        </w:rPr>
      </w:pPr>
    </w:p>
    <w:p>
      <w:pPr>
        <w:ind w:left="320" w:right="20" w:hanging="314"/>
        <w:spacing w:after="0" w:line="265" w:lineRule="auto"/>
        <w:tabs>
          <w:tab w:leader="none" w:pos="202"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 ceded.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EBITDA</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loss to adjusted EBITDA for the three and six months ended June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(178.6)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470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470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compensation expense</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4700" w:type="dxa"/>
            <w:vAlign w:val="bottom"/>
          </w:tcPr>
          <w:p>
            <w:pPr>
              <w:ind w:left="100"/>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(1)</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(165.2)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8" w:lineRule="exact"/>
        <w:rPr>
          <w:sz w:val="20"/>
          <w:szCs w:val="20"/>
          <w:color w:val="auto"/>
        </w:rPr>
      </w:pPr>
    </w:p>
    <w:p>
      <w:pPr>
        <w:ind w:left="320" w:right="20" w:hanging="314"/>
        <w:spacing w:after="0" w:line="246" w:lineRule="auto"/>
        <w:tabs>
          <w:tab w:leader="none" w:pos="2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costs consist of severance, benefits, related costs and real estate exit costs comprising of accelerated amortization of certain right-of-use assets, leasehold improvements, furniture and fixtures. This includes zero and $2.1 million of share-based compensation for the three and six months ended June 30, 2022, respectively. This also includes $0.3 million and $1.3 million in depreciation and amortization for the three and six months ended June 30, 2022, respectively. For further information on restructuring costs, see Note 9, “Restructuring Cost,” in the Notes to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70"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Regulatory Considerations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June 30, 2022, they were not permitted to pay any dividends without approval of the applicable superintendent, commissioner and/or director.</w:t>
      </w:r>
    </w:p>
    <w:p>
      <w:pPr>
        <w:spacing w:after="0" w:line="14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If our insurance subsidiaries’ businesses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2022, our insurance subsidiaries maintained a risk-based capital level that is in excess of an amount that would require any corrective actions on our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Cayman Islands Monetary Authority, or CIMA. At June 30, 2022, Root Re was subject to compliance with certain capital levels and a net earned premium to capital ratio of 15:1, which we maintained as of June 30, 2022.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Financing Arrangements</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On January 26, 2022, we closed on a $300.0 million five-year term loan, or Term Loan C. The maturity of the term loan is January 27, 2027. Interest is payable quarterly and is determined on a floating interest rate calculated on the Secured Overnight Financing Rate, with a 1.0% floor, plus 9%, plus 0.26161% per annum. Concurrently with the term loan, we also issued to the lender warrants to purchase 5.7 million shares of Class A common stock. Under certain contingent scenarios, the lender may also receive additional warrants to purchase shares of Class A common stock equal to 1.0% of the aggregate number of issued and outstanding shares of our Class A common stock on a fully-diluted basis as of the triggering date.</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As of June 30, 2022, we had $885.6 million in cash and cash equivalents, of which $695.7 million was held outside of regulated insurance entities. We also had $120.8 million in marketable securities.</w:t>
      </w:r>
    </w:p>
    <w:p>
      <w:pPr>
        <w:spacing w:after="0" w:line="128"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w:t>
      </w:r>
    </w:p>
    <w:p>
      <w:pPr>
        <w:spacing w:after="0" w:line="58"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Our long-term capital requirements depend on many factors, including our insurance premium growth rate, renewal activity, the timing and the amount of cash received from customers, the performance of our embedded product, the timing and extent of spending to support development efforts, the introduction of new and enhanced products, the continuing market adoption of offerings on our platform, and the ongoing uncertainty in the global markets resulting from the global COVID-19 pandemic. In the first quarter of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Through prudent deployment of capital we believe we have sufficient resources, and access to additional debt and equity capital, to adequately meet our obligations as they come due. For additional information regarding the organizational realignment refer to Note 9. “Restructuring Costs”, in the Notes to Condensed Consolidated Financial Statements.</w:t>
      </w:r>
    </w:p>
    <w:p>
      <w:pPr>
        <w:spacing w:after="0" w:line="101" w:lineRule="exact"/>
        <w:rPr>
          <w:sz w:val="20"/>
          <w:szCs w:val="20"/>
          <w:color w:val="auto"/>
        </w:rPr>
      </w:pPr>
    </w:p>
    <w:p>
      <w:pPr>
        <w:ind w:right="420" w:firstLine="318"/>
        <w:spacing w:after="0" w:line="271" w:lineRule="auto"/>
        <w:rPr>
          <w:sz w:val="20"/>
          <w:szCs w:val="20"/>
          <w:color w:val="auto"/>
        </w:rPr>
      </w:pPr>
      <w:r>
        <w:rPr>
          <w:rFonts w:ascii="Arial" w:cs="Arial" w:eastAsia="Arial" w:hAnsi="Arial"/>
          <w:sz w:val="17"/>
          <w:szCs w:val="17"/>
          <w:color w:val="auto"/>
        </w:rPr>
        <w:t>Currently, our debt covenants require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earned premium of 12%; or ceasing any customer acquisition spend outside of the Carvana commercial agreement and reducing our monthly cash burn to no greater than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Six Months Ended June 30,</w:t>
            </w:r>
          </w:p>
        </w:tc>
        <w:tc>
          <w:tcPr>
            <w:tcW w:w="900" w:type="dxa"/>
            <w:vAlign w:val="bottom"/>
            <w:tcBorders>
              <w:bottom w:val="single" w:sz="8" w:color="auto"/>
            </w:tcBorders>
          </w:tcPr>
          <w:p>
            <w:pPr>
              <w:spacing w:after="0"/>
              <w:rPr>
                <w:sz w:val="16"/>
                <w:szCs w:val="16"/>
                <w:color w:val="auto"/>
              </w:rPr>
            </w:pPr>
          </w:p>
        </w:tc>
      </w:tr>
      <w:tr>
        <w:trPr>
          <w:trHeight w:val="187"/>
        </w:trPr>
        <w:tc>
          <w:tcPr>
            <w:tcW w:w="7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536"/>
              <w:spacing w:after="0"/>
              <w:rPr>
                <w:sz w:val="20"/>
                <w:szCs w:val="20"/>
                <w:color w:val="auto"/>
              </w:rPr>
            </w:pPr>
            <w:r>
              <w:rPr>
                <w:rFonts w:ascii="Arial" w:cs="Arial" w:eastAsia="Arial" w:hAnsi="Arial"/>
                <w:sz w:val="14"/>
                <w:szCs w:val="14"/>
                <w:b w:val="1"/>
                <w:bCs w:val="1"/>
                <w:color w:val="auto"/>
                <w:w w:val="83"/>
              </w:rPr>
              <w:t>2021</w:t>
            </w:r>
          </w:p>
        </w:tc>
      </w:tr>
      <w:tr>
        <w:trPr>
          <w:trHeight w:val="24"/>
        </w:trPr>
        <w:tc>
          <w:tcPr>
            <w:tcW w:w="74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7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900" w:type="dxa"/>
            <w:vAlign w:val="bottom"/>
          </w:tcPr>
          <w:p>
            <w:pPr>
              <w:spacing w:after="0"/>
              <w:rPr>
                <w:sz w:val="15"/>
                <w:szCs w:val="15"/>
                <w:color w:val="auto"/>
              </w:rPr>
            </w:pPr>
          </w:p>
        </w:tc>
      </w:tr>
      <w:tr>
        <w:trPr>
          <w:trHeight w:val="24"/>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(104.9)</w:t>
            </w:r>
          </w:p>
        </w:tc>
        <w:tc>
          <w:tcPr>
            <w:tcW w:w="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45"/>
        </w:trPr>
        <w:tc>
          <w:tcPr>
            <w:tcW w:w="746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1220" w:type="dxa"/>
            <w:vAlign w:val="bottom"/>
          </w:tcPr>
          <w:p>
            <w:pPr>
              <w:spacing w:after="0"/>
              <w:rPr>
                <w:sz w:val="21"/>
                <w:szCs w:val="21"/>
                <w:color w:val="auto"/>
              </w:rPr>
            </w:pPr>
          </w:p>
        </w:tc>
        <w:tc>
          <w:tcPr>
            <w:tcW w:w="820" w:type="dxa"/>
            <w:vAlign w:val="bottom"/>
          </w:tcPr>
          <w:p>
            <w:pPr>
              <w:jc w:val="right"/>
              <w:ind w:right="139"/>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5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286.3</w:t>
            </w:r>
          </w:p>
        </w:tc>
        <w:tc>
          <w:tcPr>
            <w:tcW w:w="8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39"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Net cash used in operating activities for the six months ended June 30, 2022 was $104.9 million compared to $226.5 million of net cash used in operating activities for the six months ended June 30, 2021. The decrease in cash used in operating activities was primarily due to a decline in net loss incurred primarily as a result of a decrease in marketing expense, timing of payments and cash receipts related to reinsurance activity, and timing of premium receipts and claim payments during the six months ended June 30, 2022 compared to the same period in 2021.</w:t>
      </w:r>
    </w:p>
    <w:p>
      <w:pPr>
        <w:spacing w:after="0" w:line="12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Net cash used in investing activities for the six months ended June 30, 2022 was $1.8 million, primarily due to purchases of investments and indefinite-lived intangible assets and capitalization of internally developed software, which was partially offset by sales, maturities, calls and pay downs of investments. Net cash provided by investing activities for the six months ended June 30, 2021 was $82.6 million, primarily due to proceeds from sales, maturities, calls and pay downs of investments.</w:t>
      </w:r>
    </w:p>
    <w:p>
      <w:pPr>
        <w:spacing w:after="0" w:line="138"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auto"/>
        </w:rPr>
        <w:t>Net cash provided by financing activities for the six months ended June 30, 2022 was $286.3 million, primarily due to proceeds from our Term Loan C. Net cash provided by financing activities for the six months ended June 30, 2021 was $4.2 million primarily due to proceeds from employees exercising stock options, net of tax proceeds (withholding), which was partially offset by a partial repayment of long-term debt.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Material Cash Requirements from Contractual and Other Obligations</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There have been no material changes to our contractual and other obligations from those described in our 2021 10-K other than entering into a $300.0 million five-year Term Loan C. The maturity of this term loan is January 27, 2027. For additional information regarding the term loan refer to Note 7, “Long-Term Debt,” in the Notes to Condensed Consolidated Financial Statements.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ind w:right="280" w:firstLine="318"/>
        <w:spacing w:after="0" w:line="250"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2021 10-K and the Notes to Condensed Consolidated Financial Statements appearing elsewhere in this Quarterly Report on Form 10-Q. During the six months ended June 30, 2022, there were no material changes to our critical accounting policies from those discussed in our 2021 10-K, other than the potential accounting effects resulting from net operating loss, or NOL, limitations discussed below.</w:t>
      </w:r>
    </w:p>
    <w:p>
      <w:pPr>
        <w:spacing w:after="0" w:line="14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We calculate the tax effects of temporary differences that give rise to deferred tax assets and deferred tax liabilities in accordance with ASC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The application of ASC 740 requires a company to evaluate the recoverability of deferred tax assets and to establish a valuation allowance if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w:t>
      </w:r>
    </w:p>
    <w:p>
      <w:pPr>
        <w:spacing w:after="0" w:line="12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We may be unable to fully use our NOLs, if at all. Under Section 382 of the Internal Revenue Code, or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with an offsetting reduction in the valuation allowance.</w:t>
      </w:r>
    </w:p>
    <w:p>
      <w:pPr>
        <w:spacing w:after="0" w:line="9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performed an estimated ownership change analysis as of June 30, 2022 and concluded that we have experienced an ownership change. Our estimated ownership percentage by certain shareholders over the most recent rolling three-year period changed significantly and exceeded the 50% threshold. In connection with this ownership change, we do not expect the limitation under Section 382 of the Code will result in any material reduction in our ability to use pre-ownership change NOLs in the future nor require a reduction in the associated deferred tax asset or valuation allowance. We may still experience additional ownership changes in the future as a result of subsequent shifts in ownership, which could result in additional limitations on our NOL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in the quantitative and qualitative market risk disclosures included in the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5" w:name="page46"/>
    <w:bookmarkEnd w:id="4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June 30, 2022.</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that materially affected, or are reasonably likely to materially affect, our internal control over financial reporting.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 w:name="page48"/>
    <w:bookmarkEnd w:id="4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Except as discussed below, there have been no material changes in our risk factors from those disclosed in the 2021 10-K. In addition to the other information set forth in this Quarterly Report on Form 10-Q, you should carefully consider the risk factors discussed in Part I, Item IA, “Risk Factors” in the 2021 10-K. You should not interpret the disclosure of any risk factor to imply the risk has not already materialized.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64" w:lineRule="exact"/>
        <w:rPr>
          <w:sz w:val="20"/>
          <w:szCs w:val="20"/>
          <w:color w:val="auto"/>
        </w:rPr>
      </w:pPr>
    </w:p>
    <w:p>
      <w:pPr>
        <w:jc w:val="both"/>
        <w:ind w:right="380" w:firstLine="318"/>
        <w:spacing w:after="0" w:line="252" w:lineRule="auto"/>
        <w:rPr>
          <w:sz w:val="20"/>
          <w:szCs w:val="20"/>
          <w:color w:val="auto"/>
        </w:rPr>
      </w:pPr>
      <w:r>
        <w:rPr>
          <w:rFonts w:ascii="Arial" w:cs="Arial" w:eastAsia="Arial" w:hAnsi="Arial"/>
          <w:sz w:val="18"/>
          <w:szCs w:val="18"/>
          <w:color w:val="auto"/>
        </w:rPr>
        <w:t>As of December 31, 2021, we had federal income tax net operating losses, or NOLs, of approximately $1,042.6 million available to offset our future taxable income, if any, prior to consideration of annual limitations that may be imposed under Section 382 of the Internal Revenue Code, or the Code, or otherwise. Of our federal NOLs, $496.1 million of losses will begin to expire in tax years 2035 through 2041 and $546.5 million of losses can be carried forward indefinitely.</w:t>
      </w:r>
    </w:p>
    <w:p>
      <w:pPr>
        <w:spacing w:after="0" w:line="13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NOL carryforwards in taxable years beginning after December 31, 2020, to 80% of taxable income. In addition, federal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NOLs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Total number of shares</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 number of shares</w:t>
            </w:r>
          </w:p>
        </w:tc>
        <w:tc>
          <w:tcPr>
            <w:tcW w:w="2140" w:type="dxa"/>
            <w:vAlign w:val="bottom"/>
          </w:tcPr>
          <w:p>
            <w:pPr>
              <w:ind w:left="380"/>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33"/>
        </w:trPr>
        <w:tc>
          <w:tcPr>
            <w:tcW w:w="210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Average price paid per share</w:t>
            </w:r>
          </w:p>
        </w:tc>
        <w:tc>
          <w:tcPr>
            <w:tcW w:w="80" w:type="dxa"/>
            <w:vAlign w:val="bottom"/>
            <w:vMerge w:val="restart"/>
          </w:tcPr>
          <w:p>
            <w:pPr>
              <w:spacing w:after="0"/>
              <w:rPr>
                <w:sz w:val="11"/>
                <w:szCs w:val="11"/>
                <w:color w:val="auto"/>
              </w:rPr>
            </w:pPr>
          </w:p>
        </w:tc>
        <w:tc>
          <w:tcPr>
            <w:tcW w:w="22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2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that may yet be purchased under</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 or programs</w:t>
            </w:r>
          </w:p>
        </w:tc>
        <w:tc>
          <w:tcPr>
            <w:tcW w:w="8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plans or programs</w:t>
            </w:r>
          </w:p>
        </w:tc>
        <w:tc>
          <w:tcPr>
            <w:tcW w:w="0" w:type="dxa"/>
            <w:vAlign w:val="bottom"/>
          </w:tcPr>
          <w:p>
            <w:pPr>
              <w:spacing w:after="0"/>
              <w:rPr>
                <w:sz w:val="1"/>
                <w:szCs w:val="1"/>
                <w:color w:val="auto"/>
              </w:rPr>
            </w:pPr>
          </w:p>
        </w:tc>
      </w:tr>
      <w:tr>
        <w:trPr>
          <w:trHeight w:val="246"/>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4/1/2022 - 4/30/2022</w:t>
            </w:r>
          </w:p>
        </w:tc>
        <w:tc>
          <w:tcPr>
            <w:tcW w:w="10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100" w:type="dxa"/>
            <w:vAlign w:val="bottom"/>
          </w:tcPr>
          <w:p>
            <w:pPr>
              <w:jc w:val="right"/>
              <w:ind w:right="176"/>
              <w:spacing w:after="0"/>
              <w:rPr>
                <w:sz w:val="20"/>
                <w:szCs w:val="20"/>
                <w:color w:val="auto"/>
              </w:rPr>
            </w:pPr>
            <w:r>
              <w:rPr>
                <w:rFonts w:ascii="Arial" w:cs="Arial" w:eastAsia="Arial" w:hAnsi="Arial"/>
                <w:sz w:val="18"/>
                <w:szCs w:val="18"/>
                <w:color w:val="auto"/>
              </w:rPr>
              <w:t>5/1/2022 - 5/31/2022</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22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6/1/2022 - 6/30/2022</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60" w:firstLine="318"/>
        <w:spacing w:after="0" w:line="277" w:lineRule="auto"/>
        <w:rPr>
          <w:sz w:val="20"/>
          <w:szCs w:val="20"/>
          <w:color w:val="auto"/>
        </w:rPr>
      </w:pPr>
      <w:r>
        <w:rPr>
          <w:rFonts w:ascii="Arial" w:cs="Arial" w:eastAsia="Arial" w:hAnsi="Arial"/>
          <w:sz w:val="17"/>
          <w:szCs w:val="17"/>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were entitled to repurchase the unvested shares at the original exercise price.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64"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04"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w:t>
      </w:r>
    </w:p>
    <w:p>
      <w:pPr>
        <w:spacing w:after="0" w:line="1" w:lineRule="exact"/>
        <w:rPr>
          <w:sz w:val="20"/>
          <w:szCs w:val="20"/>
          <w:color w:val="auto"/>
        </w:rPr>
      </w:pPr>
    </w:p>
    <w:p>
      <w:pPr>
        <w:ind w:right="20" w:firstLine="6"/>
        <w:spacing w:after="0" w:line="246" w:lineRule="auto"/>
        <w:tabs>
          <w:tab w:leader="none" w:pos="2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2021, neither Root Insurance Company nor Root Property &amp; Casualty Insurance Company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 included in the 2021 10-K.</w:t>
      </w:r>
    </w:p>
    <w:p>
      <w:pPr>
        <w:spacing w:after="0" w:line="14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Further, Term Loan C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1" w:name="page52"/>
    <w:bookmarkEnd w:id="5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80" w:type="dxa"/>
            <w:vAlign w:val="bottom"/>
          </w:tcPr>
          <w:p>
            <w:pPr>
              <w:ind w:left="320"/>
              <w:spacing w:after="0"/>
              <w:rPr>
                <w:sz w:val="20"/>
                <w:szCs w:val="20"/>
                <w:color w:val="auto"/>
              </w:rPr>
            </w:pPr>
            <w:r>
              <w:rPr>
                <w:rFonts w:ascii="Arial" w:cs="Arial" w:eastAsia="Arial" w:hAnsi="Arial"/>
                <w:sz w:val="18"/>
                <w:szCs w:val="18"/>
                <w:color w:val="auto"/>
              </w:rPr>
              <w:t>(a)</w:t>
            </w: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w w:val="99"/>
              </w:rPr>
              <w:t>Incorporation by Reference</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8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w w:val="94"/>
              </w:rPr>
              <w:t>Exhibit</w:t>
            </w:r>
          </w:p>
        </w:tc>
        <w:tc>
          <w:tcPr>
            <w:tcW w:w="3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gridSpan w:val="4"/>
            <w:vMerge w:val="continue"/>
          </w:tcPr>
          <w:p>
            <w:pPr>
              <w:spacing w:after="0"/>
              <w:rPr>
                <w:sz w:val="12"/>
                <w:szCs w:val="12"/>
                <w:color w:val="auto"/>
              </w:rPr>
            </w:pPr>
          </w:p>
        </w:tc>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50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314" w:right="339" w:bottom="1440" w:gutter="0" w:footer="0" w:header="0"/>
        </w:sect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3.1</w:t>
            </w:r>
          </w:p>
        </w:tc>
        <w:tc>
          <w:tcPr>
            <w:tcW w:w="3880" w:type="dxa"/>
            <w:vAlign w:val="bottom"/>
            <w:gridSpan w:val="19"/>
          </w:tcPr>
          <w:p>
            <w:pPr>
              <w:spacing w:after="0"/>
              <w:rPr>
                <w:rFonts w:ascii="Arial" w:cs="Arial" w:eastAsia="Arial" w:hAnsi="Arial"/>
                <w:sz w:val="16"/>
                <w:szCs w:val="16"/>
                <w:color w:val="0000FF"/>
                <w:w w:val="91"/>
              </w:rPr>
            </w:pPr>
            <w:hyperlink r:id="rId88">
              <w:r>
                <w:rPr>
                  <w:rFonts w:ascii="Arial" w:cs="Arial" w:eastAsia="Arial" w:hAnsi="Arial"/>
                  <w:sz w:val="16"/>
                  <w:szCs w:val="16"/>
                  <w:color w:val="0000FF"/>
                  <w:w w:val="91"/>
                </w:rPr>
                <w:t>Amended and Restated Certificate of Incorporation of Root,</w:t>
              </w:r>
            </w:hyperlink>
          </w:p>
        </w:tc>
      </w:tr>
      <w:tr>
        <w:trPr>
          <w:trHeight w:val="139"/>
        </w:trPr>
        <w:tc>
          <w:tcPr>
            <w:tcW w:w="1120" w:type="dxa"/>
            <w:vAlign w:val="bottom"/>
          </w:tcPr>
          <w:p>
            <w:pPr>
              <w:spacing w:after="0"/>
              <w:rPr>
                <w:sz w:val="12"/>
                <w:szCs w:val="12"/>
                <w:color w:val="auto"/>
              </w:rPr>
            </w:pPr>
          </w:p>
        </w:tc>
        <w:tc>
          <w:tcPr>
            <w:tcW w:w="24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5"/>
              </w:rPr>
            </w:pPr>
            <w:hyperlink r:id="rId88">
              <w:r>
                <w:rPr>
                  <w:rFonts w:ascii="Arial" w:cs="Arial" w:eastAsia="Arial" w:hAnsi="Arial"/>
                  <w:sz w:val="16"/>
                  <w:szCs w:val="16"/>
                  <w:color w:val="0000FF"/>
                  <w:w w:val="85"/>
                </w:rPr>
                <w:t>Inc.</w:t>
              </w:r>
            </w:hyperlink>
          </w:p>
        </w:tc>
        <w:tc>
          <w:tcPr>
            <w:tcW w:w="358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2840" w:type="dxa"/>
            <w:vAlign w:val="bottom"/>
            <w:tcBorders>
              <w:bottom w:val="single" w:sz="8" w:color="0000FF"/>
            </w:tcBorders>
            <w:gridSpan w:val="6"/>
          </w:tcPr>
          <w:p>
            <w:pPr>
              <w:spacing w:after="0"/>
              <w:rPr>
                <w:rFonts w:ascii="Arial" w:cs="Arial" w:eastAsia="Arial" w:hAnsi="Arial"/>
                <w:sz w:val="16"/>
                <w:szCs w:val="16"/>
                <w:color w:val="0000FF"/>
                <w:w w:val="89"/>
              </w:rPr>
            </w:pPr>
            <w:hyperlink r:id="rId89">
              <w:r>
                <w:rPr>
                  <w:rFonts w:ascii="Arial" w:cs="Arial" w:eastAsia="Arial" w:hAnsi="Arial"/>
                  <w:sz w:val="16"/>
                  <w:szCs w:val="16"/>
                  <w:color w:val="0000FF"/>
                  <w:w w:val="89"/>
                </w:rPr>
                <w:t>Amended and Restated Bylaws of Root, Inc.</w:t>
              </w:r>
            </w:hyperlink>
          </w:p>
        </w:tc>
        <w:tc>
          <w:tcPr>
            <w:tcW w:w="1040" w:type="dxa"/>
            <w:vAlign w:val="bottom"/>
            <w:gridSpan w:val="13"/>
          </w:tcPr>
          <w:p>
            <w:pPr>
              <w:spacing w:after="0"/>
              <w:rPr>
                <w:sz w:val="21"/>
                <w:szCs w:val="2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3.3</w:t>
            </w:r>
          </w:p>
        </w:tc>
        <w:tc>
          <w:tcPr>
            <w:tcW w:w="3860" w:type="dxa"/>
            <w:vAlign w:val="bottom"/>
            <w:tcBorders>
              <w:bottom w:val="single" w:sz="8" w:color="0000FF"/>
            </w:tcBorders>
            <w:gridSpan w:val="18"/>
          </w:tcPr>
          <w:p>
            <w:pPr>
              <w:spacing w:after="0"/>
              <w:rPr>
                <w:rFonts w:ascii="Arial" w:cs="Arial" w:eastAsia="Arial" w:hAnsi="Arial"/>
                <w:sz w:val="16"/>
                <w:szCs w:val="16"/>
                <w:color w:val="0000FF"/>
                <w:w w:val="90"/>
              </w:rPr>
            </w:pPr>
            <w:hyperlink r:id="rId90">
              <w:r>
                <w:rPr>
                  <w:rFonts w:ascii="Arial" w:cs="Arial" w:eastAsia="Arial" w:hAnsi="Arial"/>
                  <w:sz w:val="16"/>
                  <w:szCs w:val="16"/>
                  <w:color w:val="0000FF"/>
                  <w:w w:val="90"/>
                </w:rPr>
                <w:t>Certificate of Designations of Series A Preferred Stock, filed</w:t>
              </w:r>
            </w:hyperlink>
          </w:p>
        </w:tc>
        <w:tc>
          <w:tcPr>
            <w:tcW w:w="20" w:type="dxa"/>
            <w:vAlign w:val="bottom"/>
          </w:tcPr>
          <w:p>
            <w:pPr>
              <w:spacing w:after="0"/>
              <w:rPr>
                <w:sz w:val="23"/>
                <w:szCs w:val="23"/>
                <w:color w:val="auto"/>
              </w:rPr>
            </w:pPr>
          </w:p>
        </w:tc>
      </w:tr>
      <w:tr>
        <w:trPr>
          <w:trHeight w:val="139"/>
        </w:trPr>
        <w:tc>
          <w:tcPr>
            <w:tcW w:w="1120" w:type="dxa"/>
            <w:vAlign w:val="bottom"/>
          </w:tcPr>
          <w:p>
            <w:pPr>
              <w:spacing w:after="0"/>
              <w:rPr>
                <w:sz w:val="12"/>
                <w:szCs w:val="12"/>
                <w:color w:val="auto"/>
              </w:rPr>
            </w:pPr>
          </w:p>
        </w:tc>
        <w:tc>
          <w:tcPr>
            <w:tcW w:w="3600" w:type="dxa"/>
            <w:vAlign w:val="bottom"/>
            <w:tcBorders>
              <w:bottom w:val="single" w:sz="8" w:color="0000FF"/>
            </w:tcBorders>
            <w:gridSpan w:val="11"/>
          </w:tcPr>
          <w:p>
            <w:pPr>
              <w:spacing w:after="0" w:line="139" w:lineRule="exact"/>
              <w:rPr>
                <w:rFonts w:ascii="Arial" w:cs="Arial" w:eastAsia="Arial" w:hAnsi="Arial"/>
                <w:sz w:val="16"/>
                <w:szCs w:val="16"/>
                <w:color w:val="0000FF"/>
                <w:w w:val="89"/>
              </w:rPr>
            </w:pPr>
            <w:hyperlink r:id="rId90">
              <w:r>
                <w:rPr>
                  <w:rFonts w:ascii="Arial" w:cs="Arial" w:eastAsia="Arial" w:hAnsi="Arial"/>
                  <w:sz w:val="16"/>
                  <w:szCs w:val="16"/>
                  <w:color w:val="0000FF"/>
                  <w:w w:val="89"/>
                </w:rPr>
                <w:t>with the Delaware Secretary of State on October 1, 2021</w:t>
              </w:r>
            </w:hyperlink>
          </w:p>
        </w:tc>
        <w:tc>
          <w:tcPr>
            <w:tcW w:w="26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2740" w:type="dxa"/>
            <w:vAlign w:val="bottom"/>
            <w:tcBorders>
              <w:bottom w:val="single" w:sz="8" w:color="0000FF"/>
            </w:tcBorders>
            <w:gridSpan w:val="5"/>
          </w:tcPr>
          <w:p>
            <w:pPr>
              <w:spacing w:after="0"/>
              <w:rPr>
                <w:rFonts w:ascii="Arial" w:cs="Arial" w:eastAsia="Arial" w:hAnsi="Arial"/>
                <w:sz w:val="16"/>
                <w:szCs w:val="16"/>
                <w:color w:val="0000FF"/>
                <w:w w:val="90"/>
              </w:rPr>
            </w:pPr>
            <w:hyperlink r:id="rId91">
              <w:r>
                <w:rPr>
                  <w:rFonts w:ascii="Arial" w:cs="Arial" w:eastAsia="Arial" w:hAnsi="Arial"/>
                  <w:sz w:val="16"/>
                  <w:szCs w:val="16"/>
                  <w:color w:val="0000FF"/>
                  <w:w w:val="90"/>
                </w:rPr>
                <w:t>Form of Class A common stock certificate.</w:t>
              </w:r>
            </w:hyperlink>
          </w:p>
        </w:tc>
        <w:tc>
          <w:tcPr>
            <w:tcW w:w="1140" w:type="dxa"/>
            <w:vAlign w:val="bottom"/>
            <w:gridSpan w:val="14"/>
          </w:tcPr>
          <w:p>
            <w:pPr>
              <w:spacing w:after="0"/>
              <w:rPr>
                <w:sz w:val="24"/>
                <w:szCs w:val="24"/>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6"/>
                <w:szCs w:val="16"/>
                <w:color w:val="auto"/>
              </w:rPr>
              <w:t>4.2</w:t>
            </w:r>
          </w:p>
        </w:tc>
        <w:tc>
          <w:tcPr>
            <w:tcW w:w="3880" w:type="dxa"/>
            <w:vAlign w:val="bottom"/>
            <w:gridSpan w:val="19"/>
          </w:tcPr>
          <w:p>
            <w:pPr>
              <w:spacing w:after="0"/>
              <w:rPr>
                <w:rFonts w:ascii="Arial" w:cs="Arial" w:eastAsia="Arial" w:hAnsi="Arial"/>
                <w:sz w:val="16"/>
                <w:szCs w:val="16"/>
                <w:color w:val="0000FF"/>
                <w:w w:val="92"/>
              </w:rPr>
            </w:pPr>
            <w:hyperlink r:id="rId92">
              <w:r>
                <w:rPr>
                  <w:rFonts w:ascii="Arial" w:cs="Arial" w:eastAsia="Arial" w:hAnsi="Arial"/>
                  <w:sz w:val="16"/>
                  <w:szCs w:val="16"/>
                  <w:color w:val="0000FF"/>
                  <w:w w:val="92"/>
                </w:rPr>
                <w:t>Common Stock Purchase Warrants, dated as of October 1,</w:t>
              </w:r>
            </w:hyperlink>
          </w:p>
        </w:tc>
      </w:tr>
      <w:tr>
        <w:trPr>
          <w:trHeight w:val="139"/>
        </w:trPr>
        <w:tc>
          <w:tcPr>
            <w:tcW w:w="11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3"/>
          </w:tcPr>
          <w:p>
            <w:pPr>
              <w:spacing w:after="0" w:line="139" w:lineRule="exact"/>
              <w:rPr>
                <w:rFonts w:ascii="Arial" w:cs="Arial" w:eastAsia="Arial" w:hAnsi="Arial"/>
                <w:sz w:val="16"/>
                <w:szCs w:val="16"/>
                <w:color w:val="0000FF"/>
                <w:w w:val="88"/>
              </w:rPr>
            </w:pPr>
            <w:hyperlink r:id="rId92">
              <w:r>
                <w:rPr>
                  <w:rFonts w:ascii="Arial" w:cs="Arial" w:eastAsia="Arial" w:hAnsi="Arial"/>
                  <w:sz w:val="16"/>
                  <w:szCs w:val="16"/>
                  <w:color w:val="0000FF"/>
                  <w:w w:val="88"/>
                </w:rPr>
                <w:t>2021, by and between Root, Inc. and Carvana Group, LLC</w:t>
              </w:r>
            </w:hyperlink>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4.3</w:t>
            </w:r>
          </w:p>
        </w:tc>
        <w:tc>
          <w:tcPr>
            <w:tcW w:w="3880" w:type="dxa"/>
            <w:vAlign w:val="bottom"/>
            <w:gridSpan w:val="19"/>
          </w:tcPr>
          <w:p>
            <w:pPr>
              <w:spacing w:after="0"/>
              <w:rPr>
                <w:rFonts w:ascii="Arial" w:cs="Arial" w:eastAsia="Arial" w:hAnsi="Arial"/>
                <w:sz w:val="16"/>
                <w:szCs w:val="16"/>
                <w:color w:val="0000FF"/>
                <w:w w:val="97"/>
              </w:rPr>
            </w:pPr>
            <w:hyperlink r:id="rId93">
              <w:r>
                <w:rPr>
                  <w:rFonts w:ascii="Arial" w:cs="Arial" w:eastAsia="Arial" w:hAnsi="Arial"/>
                  <w:sz w:val="16"/>
                  <w:szCs w:val="16"/>
                  <w:color w:val="0000FF"/>
                  <w:w w:val="97"/>
                </w:rPr>
                <w:t>Form of Common Stock Purchase Warrant (Tranche 1),</w:t>
              </w:r>
            </w:hyperlink>
          </w:p>
        </w:tc>
      </w:tr>
      <w:tr>
        <w:trPr>
          <w:trHeight w:val="139"/>
        </w:trPr>
        <w:tc>
          <w:tcPr>
            <w:tcW w:w="112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86"/>
              </w:rPr>
            </w:pPr>
            <w:hyperlink r:id="rId93">
              <w:r>
                <w:rPr>
                  <w:rFonts w:ascii="Arial" w:cs="Arial" w:eastAsia="Arial" w:hAnsi="Arial"/>
                  <w:sz w:val="16"/>
                  <w:szCs w:val="16"/>
                  <w:color w:val="0000FF"/>
                  <w:w w:val="86"/>
                </w:rPr>
                <w:t>dated January 26, 2022</w:t>
              </w:r>
            </w:hyperlink>
          </w:p>
        </w:tc>
        <w:tc>
          <w:tcPr>
            <w:tcW w:w="2060" w:type="dxa"/>
            <w:vAlign w:val="bottom"/>
            <w:tcBorders>
              <w:top w:val="single" w:sz="8" w:color="0000FF"/>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4.4</w:t>
            </w:r>
          </w:p>
        </w:tc>
        <w:tc>
          <w:tcPr>
            <w:tcW w:w="3880" w:type="dxa"/>
            <w:vAlign w:val="bottom"/>
            <w:gridSpan w:val="19"/>
          </w:tcPr>
          <w:p>
            <w:pPr>
              <w:spacing w:after="0"/>
              <w:rPr>
                <w:rFonts w:ascii="Arial" w:cs="Arial" w:eastAsia="Arial" w:hAnsi="Arial"/>
                <w:sz w:val="16"/>
                <w:szCs w:val="16"/>
                <w:color w:val="0000FF"/>
                <w:w w:val="99"/>
              </w:rPr>
            </w:pPr>
            <w:hyperlink r:id="rId94">
              <w:r>
                <w:rPr>
                  <w:rFonts w:ascii="Arial" w:cs="Arial" w:eastAsia="Arial" w:hAnsi="Arial"/>
                  <w:sz w:val="16"/>
                  <w:szCs w:val="16"/>
                  <w:color w:val="0000FF"/>
                  <w:w w:val="99"/>
                </w:rPr>
                <w:t>Form of Common Stock Purchase Warrant (Tranche 2)</w:t>
              </w:r>
            </w:hyperlink>
          </w:p>
        </w:tc>
      </w:tr>
      <w:tr>
        <w:trPr>
          <w:trHeight w:val="20"/>
        </w:trPr>
        <w:tc>
          <w:tcPr>
            <w:tcW w:w="1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10.1#</w:t>
            </w:r>
          </w:p>
        </w:tc>
        <w:tc>
          <w:tcPr>
            <w:tcW w:w="3640" w:type="dxa"/>
            <w:vAlign w:val="bottom"/>
            <w:tcBorders>
              <w:bottom w:val="single" w:sz="8" w:color="0000FF"/>
            </w:tcBorders>
            <w:gridSpan w:val="12"/>
          </w:tcPr>
          <w:p>
            <w:pPr>
              <w:spacing w:after="0"/>
              <w:rPr>
                <w:rFonts w:ascii="Arial" w:cs="Arial" w:eastAsia="Arial" w:hAnsi="Arial"/>
                <w:sz w:val="16"/>
                <w:szCs w:val="16"/>
                <w:color w:val="0000FF"/>
                <w:w w:val="90"/>
              </w:rPr>
            </w:pPr>
            <w:hyperlink r:id="rId95">
              <w:r>
                <w:rPr>
                  <w:rFonts w:ascii="Arial" w:cs="Arial" w:eastAsia="Arial" w:hAnsi="Arial"/>
                  <w:sz w:val="16"/>
                  <w:szCs w:val="16"/>
                  <w:color w:val="0000FF"/>
                  <w:w w:val="90"/>
                </w:rPr>
                <w:t>Executive Employment Agreement with Robert Bateman</w:t>
              </w:r>
            </w:hyperlink>
          </w:p>
        </w:tc>
        <w:tc>
          <w:tcPr>
            <w:tcW w:w="240" w:type="dxa"/>
            <w:vAlign w:val="bottom"/>
            <w:gridSpan w:val="7"/>
          </w:tcPr>
          <w:p>
            <w:pPr>
              <w:spacing w:after="0"/>
              <w:rPr>
                <w:sz w:val="23"/>
                <w:szCs w:val="23"/>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10.2#</w:t>
            </w:r>
          </w:p>
        </w:tc>
        <w:tc>
          <w:tcPr>
            <w:tcW w:w="386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56">
              <w:r>
                <w:rPr>
                  <w:rFonts w:ascii="Arial" w:cs="Arial" w:eastAsia="Arial" w:hAnsi="Arial"/>
                  <w:sz w:val="16"/>
                  <w:szCs w:val="16"/>
                  <w:color w:val="0000FF"/>
                  <w:w w:val="91"/>
                </w:rPr>
                <w:t>Executive Employment Agreement with Matt Bonakdarpour</w:t>
              </w:r>
            </w:hyperlink>
          </w:p>
        </w:tc>
        <w:tc>
          <w:tcPr>
            <w:tcW w:w="20" w:type="dxa"/>
            <w:vAlign w:val="bottom"/>
          </w:tcPr>
          <w:p>
            <w:pPr>
              <w:spacing w:after="0"/>
              <w:rPr>
                <w:sz w:val="23"/>
                <w:szCs w:val="23"/>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6"/>
                <w:szCs w:val="16"/>
                <w:color w:val="auto"/>
              </w:rPr>
              <w:t>10.3§</w:t>
            </w:r>
          </w:p>
        </w:tc>
        <w:tc>
          <w:tcPr>
            <w:tcW w:w="3880" w:type="dxa"/>
            <w:vAlign w:val="bottom"/>
            <w:gridSpan w:val="19"/>
          </w:tcPr>
          <w:p>
            <w:pPr>
              <w:spacing w:after="0"/>
              <w:rPr>
                <w:rFonts w:ascii="Arial" w:cs="Arial" w:eastAsia="Arial" w:hAnsi="Arial"/>
                <w:sz w:val="16"/>
                <w:szCs w:val="16"/>
                <w:color w:val="0000FF"/>
                <w:w w:val="90"/>
              </w:rPr>
            </w:pPr>
            <w:hyperlink w:anchor="page71">
              <w:r>
                <w:rPr>
                  <w:rFonts w:ascii="Arial" w:cs="Arial" w:eastAsia="Arial" w:hAnsi="Arial"/>
                  <w:sz w:val="16"/>
                  <w:szCs w:val="16"/>
                  <w:color w:val="0000FF"/>
                  <w:w w:val="90"/>
                </w:rPr>
                <w:t>First Amendment to Carvana Commercial Agreement, dated</w:t>
              </w:r>
            </w:hyperlink>
          </w:p>
        </w:tc>
      </w:tr>
      <w:tr>
        <w:trPr>
          <w:trHeight w:val="152"/>
        </w:trPr>
        <w:tc>
          <w:tcPr>
            <w:tcW w:w="1120" w:type="dxa"/>
            <w:vAlign w:val="bottom"/>
          </w:tcPr>
          <w:p>
            <w:pPr>
              <w:spacing w:after="0"/>
              <w:rPr>
                <w:sz w:val="13"/>
                <w:szCs w:val="13"/>
                <w:color w:val="auto"/>
              </w:rPr>
            </w:pPr>
          </w:p>
        </w:tc>
        <w:tc>
          <w:tcPr>
            <w:tcW w:w="384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w:anchor="page71">
              <w:r>
                <w:rPr>
                  <w:rFonts w:ascii="Arial" w:cs="Arial" w:eastAsia="Arial" w:hAnsi="Arial"/>
                  <w:sz w:val="16"/>
                  <w:szCs w:val="16"/>
                  <w:color w:val="0000FF"/>
                </w:rPr>
                <w:t>as of May 13, 2022</w:t>
              </w:r>
            </w:hyperlink>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3880" w:type="dxa"/>
            <w:vAlign w:val="bottom"/>
            <w:gridSpan w:val="19"/>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Certification of Principal Executive Officer Pursuant to</w:t>
              </w:r>
            </w:hyperlink>
          </w:p>
        </w:tc>
      </w:tr>
      <w:tr>
        <w:trPr>
          <w:trHeight w:val="152"/>
        </w:trPr>
        <w:tc>
          <w:tcPr>
            <w:tcW w:w="1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w w:val="88"/>
              </w:rPr>
            </w:pPr>
            <w:hyperlink w:anchor="page74">
              <w:r>
                <w:rPr>
                  <w:rFonts w:ascii="Arial" w:cs="Arial" w:eastAsia="Arial" w:hAnsi="Arial"/>
                  <w:sz w:val="16"/>
                  <w:szCs w:val="16"/>
                  <w:color w:val="0000FF"/>
                  <w:w w:val="88"/>
                </w:rPr>
                <w:t>Rules 13a-14(a) and 15d-14(a) under the Securities</w:t>
              </w:r>
            </w:hyperlink>
          </w:p>
        </w:tc>
        <w:tc>
          <w:tcPr>
            <w:tcW w:w="260" w:type="dxa"/>
            <w:vAlign w:val="bottom"/>
            <w:tcBorders>
              <w:top w:val="single" w:sz="8" w:color="0000FF"/>
            </w:tcBorders>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3880" w:type="dxa"/>
            <w:vAlign w:val="bottom"/>
            <w:gridSpan w:val="19"/>
          </w:tcPr>
          <w:p>
            <w:pPr>
              <w:spacing w:after="0" w:line="152" w:lineRule="exact"/>
              <w:rPr>
                <w:rFonts w:ascii="Arial" w:cs="Arial" w:eastAsia="Arial" w:hAnsi="Arial"/>
                <w:sz w:val="16"/>
                <w:szCs w:val="16"/>
                <w:color w:val="0000FF"/>
                <w:w w:val="91"/>
              </w:rPr>
            </w:pPr>
            <w:hyperlink w:anchor="page74">
              <w:r>
                <w:rPr>
                  <w:rFonts w:ascii="Arial" w:cs="Arial" w:eastAsia="Arial" w:hAnsi="Arial"/>
                  <w:sz w:val="16"/>
                  <w:szCs w:val="16"/>
                  <w:color w:val="0000FF"/>
                  <w:w w:val="91"/>
                </w:rPr>
                <w:t>Exchange Act of 1934, as Adopted Pursuant to Section 302</w:t>
              </w:r>
            </w:hyperlink>
          </w:p>
        </w:tc>
      </w:tr>
      <w:tr>
        <w:trPr>
          <w:trHeight w:val="152"/>
        </w:trPr>
        <w:tc>
          <w:tcPr>
            <w:tcW w:w="11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89"/>
              </w:rPr>
            </w:pPr>
            <w:hyperlink w:anchor="page74">
              <w:r>
                <w:rPr>
                  <w:rFonts w:ascii="Arial" w:cs="Arial" w:eastAsia="Arial" w:hAnsi="Arial"/>
                  <w:sz w:val="16"/>
                  <w:szCs w:val="16"/>
                  <w:color w:val="0000FF"/>
                  <w:w w:val="89"/>
                </w:rPr>
                <w:t>of the Sarbanes-Oxley Act of 2002.</w:t>
              </w:r>
            </w:hyperlink>
          </w:p>
        </w:tc>
        <w:tc>
          <w:tcPr>
            <w:tcW w:w="1520" w:type="dxa"/>
            <w:vAlign w:val="bottom"/>
            <w:tcBorders>
              <w:top w:val="single" w:sz="8" w:color="0000FF"/>
            </w:tcBorders>
            <w:gridSpan w:val="11"/>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3480" w:type="dxa"/>
            <w:vAlign w:val="bottom"/>
            <w:tcBorders>
              <w:bottom w:val="single" w:sz="8" w:color="0000FF"/>
            </w:tcBorders>
            <w:gridSpan w:val="8"/>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Principal Financial Officer Pursuant to</w:t>
              </w:r>
            </w:hyperlink>
          </w:p>
        </w:tc>
        <w:tc>
          <w:tcPr>
            <w:tcW w:w="400" w:type="dxa"/>
            <w:vAlign w:val="bottom"/>
            <w:gridSpan w:val="11"/>
          </w:tcPr>
          <w:p>
            <w:pPr>
              <w:spacing w:after="0"/>
              <w:rPr>
                <w:sz w:val="22"/>
                <w:szCs w:val="22"/>
                <w:color w:val="auto"/>
              </w:rPr>
            </w:pPr>
          </w:p>
        </w:tc>
      </w:tr>
    </w:tbl>
    <w:p>
      <w:pPr>
        <w:ind w:left="1140" w:right="80"/>
        <w:spacing w:after="0" w:line="234" w:lineRule="auto"/>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Rules 13a-14(a) and 15d-14(a) under the Securities</w:t>
        </w:r>
      </w:hyperlink>
      <w:r>
        <w:rPr>
          <w:rFonts w:ascii="Arial" w:cs="Arial" w:eastAsia="Arial" w:hAnsi="Arial"/>
          <w:sz w:val="16"/>
          <w:szCs w:val="16"/>
          <w:u w:val="single" w:color="auto"/>
          <w:color w:val="0000FF"/>
        </w:rPr>
        <w:t xml:space="preserve"> </w:t>
      </w:r>
      <w:hyperlink w:anchor="page75">
        <w:r>
          <w:rPr>
            <w:rFonts w:ascii="Arial" w:cs="Arial" w:eastAsia="Arial" w:hAnsi="Arial"/>
            <w:sz w:val="16"/>
            <w:szCs w:val="16"/>
            <w:u w:val="single" w:color="auto"/>
            <w:color w:val="0000FF"/>
          </w:rPr>
          <w:t>Exchange Act of 1934, as Adopted Pursuant to Section 302</w:t>
        </w:r>
      </w:hyperlink>
      <w:r>
        <w:rPr>
          <w:rFonts w:ascii="Arial" w:cs="Arial" w:eastAsia="Arial" w:hAnsi="Arial"/>
          <w:sz w:val="16"/>
          <w:szCs w:val="16"/>
          <w:u w:val="single" w:color="auto"/>
          <w:color w:val="0000FF"/>
        </w:rPr>
        <w:t xml:space="preserve"> </w:t>
      </w:r>
      <w:hyperlink w:anchor="page75">
        <w:r>
          <w:rPr>
            <w:rFonts w:ascii="Arial" w:cs="Arial" w:eastAsia="Arial" w:hAnsi="Arial"/>
            <w:sz w:val="16"/>
            <w:szCs w:val="16"/>
            <w:u w:val="single" w:color="auto"/>
            <w:color w:val="0000FF"/>
          </w:rPr>
          <w:t>of the 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95"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4"/>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90"/>
              </w:rPr>
              <w:t>October 30, 2020</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400" w:type="dxa"/>
            <w:vAlign w:val="bottom"/>
          </w:tcPr>
          <w:p>
            <w:pPr>
              <w:jc w:val="center"/>
              <w:ind w:left="181"/>
              <w:spacing w:after="0"/>
              <w:rPr>
                <w:sz w:val="20"/>
                <w:szCs w:val="20"/>
                <w:color w:val="auto"/>
              </w:rPr>
            </w:pPr>
            <w:r>
              <w:rPr>
                <w:rFonts w:ascii="Arial" w:cs="Arial" w:eastAsia="Arial" w:hAnsi="Arial"/>
                <w:sz w:val="16"/>
                <w:szCs w:val="16"/>
                <w:color w:val="auto"/>
                <w:w w:val="90"/>
              </w:rPr>
              <w:t>August 12, 2021</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90"/>
              </w:rPr>
              <w:t>October 1, 2021</w:t>
            </w:r>
          </w:p>
        </w:tc>
      </w:tr>
      <w:tr>
        <w:trPr>
          <w:trHeight w:val="398"/>
        </w:trPr>
        <w:tc>
          <w:tcPr>
            <w:tcW w:w="680" w:type="dxa"/>
            <w:vAlign w:val="bottom"/>
          </w:tcPr>
          <w:p>
            <w:pPr>
              <w:jc w:val="center"/>
              <w:ind w:right="2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90"/>
              </w:rPr>
              <w:t>October 20, 2020</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90"/>
              </w:rPr>
              <w:t>October 1, 2021</w:t>
            </w:r>
          </w:p>
        </w:tc>
      </w:tr>
      <w:tr>
        <w:trPr>
          <w:trHeight w:val="424"/>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87"/>
              </w:rPr>
              <w:t>January 27, 2022</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87"/>
              </w:rPr>
              <w:t>January 27, 2022</w:t>
            </w:r>
          </w:p>
        </w:tc>
      </w:tr>
      <w:tr>
        <w:trPr>
          <w:trHeight w:val="291"/>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0" w:type="dxa"/>
            <w:vAlign w:val="bottom"/>
          </w:tcPr>
          <w:p>
            <w:pPr>
              <w:jc w:val="center"/>
              <w:ind w:left="201"/>
              <w:spacing w:after="0"/>
              <w:rPr>
                <w:sz w:val="20"/>
                <w:szCs w:val="20"/>
                <w:color w:val="auto"/>
              </w:rPr>
            </w:pPr>
            <w:r>
              <w:rPr>
                <w:rFonts w:ascii="Arial" w:cs="Arial" w:eastAsia="Arial" w:hAnsi="Arial"/>
                <w:sz w:val="16"/>
                <w:szCs w:val="16"/>
                <w:color w:val="auto"/>
                <w:w w:val="89"/>
              </w:rPr>
              <w:t>March 23, 2022</w:t>
            </w:r>
          </w:p>
        </w:tc>
      </w:tr>
    </w:tbl>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0"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u w:val="single" w:color="auto"/>
          <w:color w:val="0000FF"/>
        </w:rPr>
      </w:pPr>
    </w:p>
    <w:p>
      <w:pPr>
        <w:spacing w:after="0" w:line="23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1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X</w:t>
      </w:r>
    </w:p>
    <w:p>
      <w:pPr>
        <w:spacing w:after="0" w:line="346" w:lineRule="exact"/>
        <w:rPr>
          <w:rFonts w:ascii="Arial" w:cs="Arial" w:eastAsia="Arial" w:hAnsi="Arial"/>
          <w:sz w:val="16"/>
          <w:szCs w:val="16"/>
          <w:u w:val="single" w:color="auto"/>
          <w:color w:val="0000FF"/>
        </w:rPr>
      </w:pPr>
    </w:p>
    <w:p>
      <w:pPr>
        <w:sectPr>
          <w:pgSz w:w="11900" w:h="16838" w:orient="portrait"/>
          <w:cols w:equalWidth="0" w:num="3">
            <w:col w:w="5000" w:space="180"/>
            <w:col w:w="4600" w:space="720"/>
            <w:col w:w="740"/>
          </w:cols>
          <w:pgMar w:left="320" w:top="1314" w:right="339" w:bottom="1440" w:gutter="0" w:footer="0" w:header="0"/>
          <w:type w:val="continuous"/>
        </w:sectPr>
      </w:pPr>
    </w:p>
    <w:p>
      <w:pPr>
        <w:spacing w:after="0" w:line="13"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6"/>
          <w:szCs w:val="16"/>
          <w:color w:val="auto"/>
        </w:rPr>
        <w:t>32.1*</w:t>
      </w:r>
    </w:p>
    <w:p>
      <w:pPr>
        <w:spacing w:after="0" w:line="200" w:lineRule="exact"/>
        <w:rPr>
          <w:rFonts w:ascii="Arial" w:cs="Arial" w:eastAsia="Arial" w:hAnsi="Arial"/>
          <w:sz w:val="16"/>
          <w:szCs w:val="16"/>
          <w:u w:val="single" w:color="auto"/>
          <w:color w:val="0000FF"/>
        </w:rPr>
      </w:pPr>
    </w:p>
    <w:p>
      <w:pPr>
        <w:spacing w:after="0" w:line="398"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6"/>
          <w:szCs w:val="16"/>
          <w:color w:val="auto"/>
        </w:rPr>
        <w:t>101.INS</w:t>
      </w:r>
    </w:p>
    <w:p>
      <w:pPr>
        <w:spacing w:after="0" w:line="94"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4"/>
          <w:szCs w:val="14"/>
          <w:color w:val="auto"/>
        </w:rPr>
        <w:t>101.SCH</w:t>
      </w:r>
    </w:p>
    <w:p>
      <w:pPr>
        <w:spacing w:after="0" w:line="117"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5"/>
          <w:szCs w:val="15"/>
          <w:color w:val="auto"/>
        </w:rPr>
        <w:t>101.CAL</w:t>
      </w:r>
    </w:p>
    <w:p>
      <w:pPr>
        <w:spacing w:after="0" w:line="265"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5"/>
          <w:szCs w:val="15"/>
          <w:color w:val="auto"/>
        </w:rPr>
        <w:t>101.DEF</w:t>
      </w:r>
    </w:p>
    <w:p>
      <w:pPr>
        <w:spacing w:after="0" w:line="252"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5"/>
          <w:szCs w:val="15"/>
          <w:color w:val="auto"/>
        </w:rPr>
        <w:t>101.LAB</w:t>
      </w:r>
    </w:p>
    <w:p>
      <w:pPr>
        <w:spacing w:after="0" w:line="252" w:lineRule="exact"/>
        <w:rPr>
          <w:rFonts w:ascii="Arial" w:cs="Arial" w:eastAsia="Arial" w:hAnsi="Arial"/>
          <w:sz w:val="16"/>
          <w:szCs w:val="16"/>
          <w:u w:val="single" w:color="auto"/>
          <w:color w:val="0000FF"/>
        </w:rPr>
      </w:pPr>
    </w:p>
    <w:p>
      <w:pPr>
        <w:ind w:left="20"/>
        <w:spacing w:after="0"/>
        <w:rPr>
          <w:sz w:val="20"/>
          <w:szCs w:val="20"/>
          <w:color w:val="auto"/>
        </w:rPr>
      </w:pPr>
      <w:r>
        <w:rPr>
          <w:rFonts w:ascii="Arial" w:cs="Arial" w:eastAsia="Arial" w:hAnsi="Arial"/>
          <w:sz w:val="14"/>
          <w:szCs w:val="14"/>
          <w:color w:val="auto"/>
        </w:rPr>
        <w:t>101.PRE</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Certification of Principal Executive Officer and Principal</w:t>
        </w:r>
      </w:hyperlink>
    </w:p>
    <w:p>
      <w:pPr>
        <w:spacing w:after="0" w:line="187" w:lineRule="auto"/>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Financial Officer Pursuant to 18 U.S.C. Section 1350, as</w:t>
        </w:r>
      </w:hyperlink>
    </w:p>
    <w:p>
      <w:pPr>
        <w:spacing w:after="0" w:line="1" w:lineRule="exact"/>
        <w:rPr>
          <w:rFonts w:ascii="Arial" w:cs="Arial" w:eastAsia="Arial" w:hAnsi="Arial"/>
          <w:sz w:val="16"/>
          <w:szCs w:val="16"/>
          <w:u w:val="single" w:color="auto"/>
          <w:color w:val="0000FF"/>
        </w:rPr>
      </w:pPr>
    </w:p>
    <w:p>
      <w:pPr>
        <w:ind w:right="62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Adopted Pursuant to Section 906 of the Sarbanes-Oxley Act</w:t>
        </w:r>
        <w:r>
          <w:rPr>
            <w:rFonts w:ascii="Arial" w:cs="Arial" w:eastAsia="Arial" w:hAnsi="Arial"/>
            <w:sz w:val="16"/>
            <w:szCs w:val="16"/>
            <w:color w:val="0000FF"/>
          </w:rPr>
          <w:t xml:space="preserve"> </w:t>
        </w:r>
      </w:hyperlink>
      <w:r>
        <w:rPr>
          <w:rFonts w:ascii="Arial" w:cs="Arial" w:eastAsia="Arial" w:hAnsi="Arial"/>
          <w:sz w:val="31"/>
          <w:szCs w:val="31"/>
          <w:color w:val="000000"/>
          <w:vertAlign w:val="superscript"/>
        </w:rPr>
        <w:t>X</w:t>
      </w:r>
      <w:r>
        <w:rPr>
          <w:rFonts w:ascii="Arial" w:cs="Arial" w:eastAsia="Arial" w:hAnsi="Arial"/>
          <w:sz w:val="16"/>
          <w:szCs w:val="16"/>
          <w:color w:val="0000FF"/>
        </w:rPr>
        <w:t xml:space="preserve"> </w:t>
      </w:r>
      <w:hyperlink w:anchor="page76">
        <w:r>
          <w:rPr>
            <w:rFonts w:ascii="Arial" w:cs="Arial" w:eastAsia="Arial" w:hAnsi="Arial"/>
            <w:sz w:val="16"/>
            <w:szCs w:val="16"/>
            <w:u w:val="single" w:color="auto"/>
            <w:color w:val="0000FF"/>
          </w:rPr>
          <w:t>of 2002.</w:t>
        </w:r>
      </w:hyperlink>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rPr>
          <w:sz w:val="20"/>
          <w:szCs w:val="20"/>
          <w:color w:val="auto"/>
        </w:rPr>
      </w:pPr>
      <w:r>
        <w:rPr>
          <w:rFonts w:ascii="Arial" w:cs="Arial" w:eastAsia="Arial" w:hAnsi="Arial"/>
          <w:sz w:val="16"/>
          <w:szCs w:val="16"/>
          <w:color w:val="auto"/>
        </w:rPr>
        <w:t>Document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rPr>
          <w:sz w:val="20"/>
          <w:szCs w:val="20"/>
          <w:color w:val="auto"/>
        </w:rPr>
      </w:pPr>
      <w:r>
        <w:rPr>
          <w:rFonts w:ascii="Arial" w:cs="Arial" w:eastAsia="Arial" w:hAnsi="Arial"/>
          <w:sz w:val="16"/>
          <w:szCs w:val="16"/>
          <w:color w:val="auto"/>
        </w:rPr>
        <w:t>Document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w:t>
      </w:r>
    </w:p>
    <w:p>
      <w:pPr>
        <w:spacing w:after="0"/>
        <w:rPr>
          <w:sz w:val="20"/>
          <w:szCs w:val="20"/>
          <w:color w:val="auto"/>
        </w:rPr>
      </w:pPr>
      <w:r>
        <w:rPr>
          <w:rFonts w:ascii="Arial" w:cs="Arial" w:eastAsia="Arial" w:hAnsi="Arial"/>
          <w:sz w:val="16"/>
          <w:szCs w:val="16"/>
          <w:color w:val="auto"/>
        </w:rPr>
        <w:t>Document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rPr>
          <w:sz w:val="20"/>
          <w:szCs w:val="20"/>
          <w:color w:val="auto"/>
        </w:rPr>
      </w:pPr>
      <w:r>
        <w:rPr>
          <w:rFonts w:ascii="Arial" w:cs="Arial" w:eastAsia="Arial" w:hAnsi="Arial"/>
          <w:sz w:val="16"/>
          <w:szCs w:val="16"/>
          <w:color w:val="auto"/>
        </w:rPr>
        <w:t>Document</w:t>
      </w:r>
    </w:p>
    <w:p>
      <w:pPr>
        <w:spacing w:after="0" w:line="200" w:lineRule="exact"/>
        <w:rPr>
          <w:sz w:val="20"/>
          <w:szCs w:val="20"/>
          <w:color w:val="auto"/>
        </w:rPr>
      </w:pPr>
    </w:p>
    <w:p>
      <w:pPr>
        <w:sectPr>
          <w:pgSz w:w="11900" w:h="16838" w:orient="portrait"/>
          <w:cols w:equalWidth="0" w:num="2">
            <w:col w:w="620" w:space="520"/>
            <w:col w:w="10100"/>
          </w:cols>
          <w:pgMar w:left="320" w:top="1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53" w:name="page54"/>
    <w:bookmarkEnd w:id="53"/>
    <w:p>
      <w:pPr>
        <w:ind w:left="1140" w:right="6140" w:hanging="1116"/>
        <w:spacing w:after="0" w:line="236" w:lineRule="auto"/>
        <w:tabs>
          <w:tab w:leader="none" w:pos="1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160" w:hanging="154"/>
        <w:spacing w:after="0" w:line="223" w:lineRule="auto"/>
        <w:tabs>
          <w:tab w:leader="none" w:pos="133" w:val="left"/>
        </w:tabs>
        <w:numPr>
          <w:ilvl w:val="0"/>
          <w:numId w:val="27"/>
        </w:numPr>
        <w:rPr>
          <w:rFonts w:ascii="Arial" w:cs="Arial" w:eastAsia="Arial" w:hAnsi="Arial"/>
          <w:sz w:val="18"/>
          <w:szCs w:val="18"/>
          <w:color w:val="auto"/>
        </w:rPr>
      </w:pPr>
      <w:r>
        <w:rPr>
          <w:rFonts w:ascii="Arial" w:cs="Arial" w:eastAsia="Arial" w:hAnsi="Arial"/>
          <w:sz w:val="14"/>
          <w:szCs w:val="14"/>
          <w:color w:val="auto"/>
        </w:rPr>
        <w:t>Schedules and exhibits to this Exhibit omitted pursuant to Regulation S-K Item 601(a)(5) and (b)(10). The Company agrees to furnish supplementally a copy of any omitted schedule or exhibit to the SEC upon request.</w:t>
      </w:r>
    </w:p>
    <w:p>
      <w:pPr>
        <w:spacing w:after="0"/>
        <w:rPr>
          <w:sz w:val="20"/>
          <w:szCs w:val="20"/>
          <w:color w:val="auto"/>
        </w:rPr>
      </w:pPr>
      <w:r>
        <w:rPr>
          <w:rFonts w:ascii="Arial" w:cs="Arial" w:eastAsia="Arial" w:hAnsi="Arial"/>
          <w:sz w:val="14"/>
          <w:szCs w:val="14"/>
          <w:color w:val="auto"/>
        </w:rPr>
        <w:t># Indicates management contract or compensatory plan.</w:t>
      </w:r>
    </w:p>
    <w:p>
      <w:pPr>
        <w:ind w:left="80" w:right="340" w:hanging="74"/>
        <w:spacing w:after="0" w:line="247" w:lineRule="auto"/>
        <w:tabs>
          <w:tab w:leader="none" w:pos="10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362" w:right="45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19"/>
                <w:szCs w:val="19"/>
                <w:color w:val="auto"/>
              </w:rPr>
            </w:pPr>
          </w:p>
        </w:tc>
      </w:tr>
      <w:tr>
        <w:trPr>
          <w:trHeight w:val="531"/>
        </w:trPr>
        <w:tc>
          <w:tcPr>
            <w:tcW w:w="2720" w:type="dxa"/>
            <w:vAlign w:val="bottom"/>
          </w:tcPr>
          <w:p>
            <w:pPr>
              <w:spacing w:after="0"/>
              <w:rPr>
                <w:sz w:val="20"/>
                <w:szCs w:val="20"/>
                <w:color w:val="auto"/>
              </w:rPr>
            </w:pPr>
            <w:r>
              <w:rPr>
                <w:rFonts w:ascii="Arial" w:cs="Arial" w:eastAsia="Arial" w:hAnsi="Arial"/>
                <w:sz w:val="18"/>
                <w:szCs w:val="18"/>
                <w:color w:val="auto"/>
              </w:rPr>
              <w:t>Date: August 8, 2022</w:t>
            </w:r>
          </w:p>
        </w:tc>
        <w:tc>
          <w:tcPr>
            <w:tcW w:w="2000" w:type="dxa"/>
            <w:vAlign w:val="bottom"/>
            <w:gridSpan w:val="3"/>
          </w:tcPr>
          <w:p>
            <w:pPr>
              <w:ind w:left="1300"/>
              <w:spacing w:after="0"/>
              <w:rPr>
                <w:sz w:val="20"/>
                <w:szCs w:val="20"/>
                <w:color w:val="auto"/>
              </w:rPr>
            </w:pPr>
            <w:r>
              <w:rPr>
                <w:rFonts w:ascii="Arial" w:cs="Arial" w:eastAsia="Arial" w:hAnsi="Arial"/>
                <w:sz w:val="18"/>
                <w:szCs w:val="18"/>
                <w:color w:val="auto"/>
              </w:rPr>
              <w:t>By:</w:t>
            </w:r>
          </w:p>
        </w:tc>
        <w:tc>
          <w:tcPr>
            <w:tcW w:w="5960" w:type="dxa"/>
            <w:vAlign w:val="bottom"/>
          </w:tcPr>
          <w:p>
            <w:pPr>
              <w:ind w:left="160"/>
              <w:spacing w:after="0"/>
              <w:rPr>
                <w:sz w:val="20"/>
                <w:szCs w:val="20"/>
                <w:color w:val="auto"/>
              </w:rPr>
            </w:pPr>
            <w:r>
              <w:rPr>
                <w:rFonts w:ascii="Arial" w:cs="Arial" w:eastAsia="Arial" w:hAnsi="Arial"/>
                <w:sz w:val="18"/>
                <w:szCs w:val="18"/>
                <w:color w:val="auto"/>
              </w:rPr>
              <w:t>/s/ Alexander Timm</w:t>
            </w:r>
          </w:p>
        </w:tc>
      </w:tr>
      <w:tr>
        <w:trPr>
          <w:trHeight w:val="231"/>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Alexander Timm</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17"/>
        </w:trPr>
        <w:tc>
          <w:tcPr>
            <w:tcW w:w="2720" w:type="dxa"/>
            <w:vAlign w:val="bottom"/>
          </w:tcPr>
          <w:p>
            <w:pPr>
              <w:spacing w:after="0"/>
              <w:rPr>
                <w:sz w:val="24"/>
                <w:szCs w:val="24"/>
                <w:color w:val="auto"/>
              </w:rPr>
            </w:pP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720" w:type="dxa"/>
            <w:vAlign w:val="bottom"/>
          </w:tcPr>
          <w:p>
            <w:pPr>
              <w:spacing w:after="0"/>
              <w:rPr>
                <w:sz w:val="20"/>
                <w:szCs w:val="20"/>
                <w:color w:val="auto"/>
              </w:rPr>
            </w:pPr>
            <w:r>
              <w:rPr>
                <w:rFonts w:ascii="Arial" w:cs="Arial" w:eastAsia="Arial" w:hAnsi="Arial"/>
                <w:sz w:val="18"/>
                <w:szCs w:val="18"/>
                <w:color w:val="auto"/>
              </w:rPr>
              <w:t>Date: August 8, 2022</w:t>
            </w: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Robert Bateman</w:t>
            </w:r>
          </w:p>
        </w:tc>
      </w:tr>
      <w:tr>
        <w:trPr>
          <w:trHeight w:val="231"/>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Robert Bateman</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17"/>
        </w:trPr>
        <w:tc>
          <w:tcPr>
            <w:tcW w:w="2720" w:type="dxa"/>
            <w:vAlign w:val="bottom"/>
          </w:tcPr>
          <w:p>
            <w:pPr>
              <w:spacing w:after="0"/>
              <w:rPr>
                <w:sz w:val="24"/>
                <w:szCs w:val="24"/>
                <w:color w:val="auto"/>
              </w:rPr>
            </w:pP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0"/>
        </w:trPr>
        <w:tc>
          <w:tcPr>
            <w:tcW w:w="2720" w:type="dxa"/>
            <w:vAlign w:val="bottom"/>
          </w:tcPr>
          <w:p>
            <w:pPr>
              <w:spacing w:after="0"/>
              <w:rPr>
                <w:sz w:val="20"/>
                <w:szCs w:val="20"/>
                <w:color w:val="auto"/>
              </w:rPr>
            </w:pPr>
            <w:r>
              <w:rPr>
                <w:rFonts w:ascii="Arial" w:cs="Arial" w:eastAsia="Arial" w:hAnsi="Arial"/>
                <w:sz w:val="18"/>
                <w:szCs w:val="18"/>
                <w:color w:val="auto"/>
              </w:rPr>
              <w:t>Date: August 8, 2022</w:t>
            </w: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Megan Binkley</w:t>
            </w:r>
          </w:p>
        </w:tc>
      </w:tr>
      <w:tr>
        <w:trPr>
          <w:trHeight w:val="231"/>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Megan Binkley</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Accounting Officer</w:t>
            </w:r>
          </w:p>
        </w:tc>
      </w:tr>
      <w:tr>
        <w:trPr>
          <w:trHeight w:val="252"/>
        </w:trPr>
        <w:tc>
          <w:tcPr>
            <w:tcW w:w="2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320" w:top="1314" w:right="239" w:bottom="1440" w:gutter="0" w:footer="0" w:header="0"/>
        </w:sectPr>
      </w:pPr>
    </w:p>
    <w:bookmarkStart w:id="55" w:name="page56"/>
    <w:bookmarkEnd w:id="55"/>
    <w:p>
      <w:pPr>
        <w:ind w:left="10140"/>
        <w:spacing w:after="0"/>
        <w:rPr>
          <w:sz w:val="20"/>
          <w:szCs w:val="20"/>
          <w:color w:val="auto"/>
        </w:rPr>
      </w:pPr>
      <w:r>
        <w:rPr>
          <w:rFonts w:ascii="Arial" w:cs="Arial" w:eastAsia="Arial" w:hAnsi="Arial"/>
          <w:sz w:val="19"/>
          <w:szCs w:val="19"/>
          <w:b w:val="1"/>
          <w:bCs w:val="1"/>
          <w:color w:val="auto"/>
        </w:rPr>
        <w:t>Exhibit 10.2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EMPLOYMENT AGREEMENT</w:t>
      </w:r>
    </w:p>
    <w:p>
      <w:pPr>
        <w:spacing w:after="0" w:line="159"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20"/>
          <w:szCs w:val="20"/>
          <w:color w:val="auto"/>
        </w:rPr>
        <w:t>THIS EXECUTIVE EMPLOYMENT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December 2, 2021, (the “</w:t>
      </w:r>
      <w:r>
        <w:rPr>
          <w:rFonts w:ascii="Arial" w:cs="Arial" w:eastAsia="Arial" w:hAnsi="Arial"/>
          <w:sz w:val="20"/>
          <w:szCs w:val="20"/>
          <w:b w:val="1"/>
          <w:bCs w:val="1"/>
          <w:color w:val="auto"/>
        </w:rPr>
        <w:t>Effective Date</w:t>
      </w:r>
      <w:r>
        <w:rPr>
          <w:rFonts w:ascii="Arial" w:cs="Arial" w:eastAsia="Arial" w:hAnsi="Arial"/>
          <w:sz w:val="20"/>
          <w:szCs w:val="20"/>
          <w:color w:val="auto"/>
        </w:rPr>
        <w:t>”), between Caret Holdings, Inc, a Delaware corporation (and collectively with its parents, subsidiaries, and other corporate affiliates, and its or their successors or assigns (the “</w:t>
      </w:r>
      <w:r>
        <w:rPr>
          <w:rFonts w:ascii="Arial" w:cs="Arial" w:eastAsia="Arial" w:hAnsi="Arial"/>
          <w:sz w:val="20"/>
          <w:szCs w:val="20"/>
          <w:b w:val="1"/>
          <w:bCs w:val="1"/>
          <w:color w:val="auto"/>
        </w:rPr>
        <w:t>Company</w:t>
      </w:r>
      <w:r>
        <w:rPr>
          <w:rFonts w:ascii="Arial" w:cs="Arial" w:eastAsia="Arial" w:hAnsi="Arial"/>
          <w:sz w:val="20"/>
          <w:szCs w:val="20"/>
          <w:color w:val="auto"/>
        </w:rPr>
        <w:t>”), and Matt Bonakdarpour (“</w:t>
      </w:r>
      <w:r>
        <w:rPr>
          <w:rFonts w:ascii="Arial" w:cs="Arial" w:eastAsia="Arial" w:hAnsi="Arial"/>
          <w:sz w:val="20"/>
          <w:szCs w:val="20"/>
          <w:b w:val="1"/>
          <w:bCs w:val="1"/>
          <w:color w:val="auto"/>
        </w:rPr>
        <w:t>Executive</w:t>
      </w:r>
      <w:r>
        <w:rPr>
          <w:rFonts w:ascii="Arial" w:cs="Arial" w:eastAsia="Arial" w:hAnsi="Arial"/>
          <w:sz w:val="20"/>
          <w:szCs w:val="20"/>
          <w:color w:val="auto"/>
        </w:rPr>
        <w:t>”). The Company and Executive are each referred to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54" w:lineRule="exact"/>
        <w:rPr>
          <w:sz w:val="20"/>
          <w:szCs w:val="20"/>
          <w:color w:val="auto"/>
        </w:rPr>
      </w:pPr>
    </w:p>
    <w:p>
      <w:pPr>
        <w:jc w:val="both"/>
        <w:ind w:firstLine="1272"/>
        <w:spacing w:after="0" w:line="239" w:lineRule="auto"/>
        <w:rPr>
          <w:sz w:val="20"/>
          <w:szCs w:val="20"/>
          <w:color w:val="auto"/>
        </w:rPr>
      </w:pPr>
      <w:r>
        <w:rPr>
          <w:rFonts w:ascii="Arial" w:cs="Arial" w:eastAsia="Arial" w:hAnsi="Arial"/>
          <w:sz w:val="21"/>
          <w:szCs w:val="21"/>
          <w:color w:val="auto"/>
        </w:rPr>
        <w:t>WHEREAS, the Company wishes to offer continued employment to the Executive, and the Executive wishes to accept such offer, on the terms and conditions set forth below;</w:t>
      </w:r>
    </w:p>
    <w:p>
      <w:pPr>
        <w:spacing w:after="0" w:line="155"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20"/>
          <w:szCs w:val="20"/>
          <w:color w:val="auto"/>
        </w:rPr>
        <w:t>NOW, THEREFORE, in consideration of the mutual covenants contained herein and other good and valuable consideration, the receipt and sufficiency of which are hereby acknowledged, the parties hereto agree as follows:</w:t>
      </w:r>
    </w:p>
    <w:p>
      <w:pPr>
        <w:spacing w:after="0" w:line="126" w:lineRule="exact"/>
        <w:rPr>
          <w:sz w:val="20"/>
          <w:szCs w:val="20"/>
          <w:color w:val="auto"/>
        </w:rPr>
      </w:pPr>
    </w:p>
    <w:p>
      <w:pPr>
        <w:jc w:val="both"/>
        <w:ind w:firstLine="1278"/>
        <w:spacing w:after="0" w:line="226" w:lineRule="auto"/>
        <w:tabs>
          <w:tab w:leader="none" w:pos="1908"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employ Executive, and Executive hereby accepts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the Company, upon the terms and conditions set forth in this Agreement for the period commencing as of the Effective Date, and continuing on each anniversary of the Effective Date, unless terminated earlier in accordance with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(the “</w:t>
      </w:r>
      <w:r>
        <w:rPr>
          <w:rFonts w:ascii="Arial" w:cs="Arial" w:eastAsia="Arial" w:hAnsi="Arial"/>
          <w:sz w:val="21"/>
          <w:szCs w:val="21"/>
          <w:b w:val="1"/>
          <w:bCs w:val="1"/>
          <w:color w:val="auto"/>
        </w:rPr>
        <w:t>Employment Period</w:t>
      </w:r>
      <w:r>
        <w:rPr>
          <w:rFonts w:ascii="Arial" w:cs="Arial" w:eastAsia="Arial" w:hAnsi="Arial"/>
          <w:sz w:val="21"/>
          <w:szCs w:val="21"/>
          <w:color w:val="auto"/>
        </w:rPr>
        <w:t>”).</w:t>
      </w:r>
    </w:p>
    <w:p>
      <w:pPr>
        <w:spacing w:after="0" w:line="150" w:lineRule="exact"/>
        <w:rPr>
          <w:rFonts w:ascii="Arial" w:cs="Arial" w:eastAsia="Arial" w:hAnsi="Arial"/>
          <w:sz w:val="21"/>
          <w:szCs w:val="21"/>
          <w:b w:val="1"/>
          <w:bCs w:val="1"/>
          <w:color w:val="auto"/>
        </w:rPr>
      </w:pPr>
    </w:p>
    <w:p>
      <w:pPr>
        <w:ind w:left="1920" w:hanging="642"/>
        <w:spacing w:after="0"/>
        <w:tabs>
          <w:tab w:leader="none" w:pos="1920"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Position and Duties</w:t>
      </w:r>
      <w:r>
        <w:rPr>
          <w:rFonts w:ascii="Arial" w:cs="Arial" w:eastAsia="Arial" w:hAnsi="Arial"/>
          <w:sz w:val="21"/>
          <w:szCs w:val="21"/>
          <w:color w:val="auto"/>
        </w:rPr>
        <w:t>.</w:t>
      </w:r>
    </w:p>
    <w:p>
      <w:pPr>
        <w:spacing w:after="0" w:line="189" w:lineRule="exact"/>
        <w:rPr>
          <w:sz w:val="20"/>
          <w:szCs w:val="20"/>
          <w:color w:val="auto"/>
        </w:rPr>
      </w:pPr>
    </w:p>
    <w:p>
      <w:pPr>
        <w:ind w:left="1920" w:hanging="642"/>
        <w:spacing w:after="0"/>
        <w:tabs>
          <w:tab w:leader="none" w:pos="19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Position</w:t>
      </w:r>
      <w:r>
        <w:rPr>
          <w:rFonts w:ascii="Arial" w:cs="Arial" w:eastAsia="Arial" w:hAnsi="Arial"/>
          <w:sz w:val="19"/>
          <w:szCs w:val="19"/>
          <w:color w:val="auto"/>
        </w:rPr>
        <w:t>. During the Employment Period, the Executive shall serve as the Chief Data Science and Analytics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Officer.</w:t>
      </w:r>
    </w:p>
    <w:p>
      <w:pPr>
        <w:spacing w:after="0" w:line="165" w:lineRule="exact"/>
        <w:rPr>
          <w:sz w:val="20"/>
          <w:szCs w:val="20"/>
          <w:color w:val="auto"/>
        </w:rPr>
      </w:pPr>
    </w:p>
    <w:p>
      <w:pPr>
        <w:jc w:val="both"/>
        <w:ind w:firstLine="1278"/>
        <w:spacing w:after="0" w:line="225" w:lineRule="auto"/>
        <w:tabs>
          <w:tab w:leader="none" w:pos="1903"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Executive shall have the normal duties, responsibilities, functions and authority customarily associated with such position and such other duties and responsibilities as may be assigned from time to time to Executive by the Chief Executive Officer of the Company or such other person as the Chief Executive Officer may designate from time to time (the “</w:t>
      </w:r>
      <w:r>
        <w:rPr>
          <w:rFonts w:ascii="Arial" w:cs="Arial" w:eastAsia="Arial" w:hAnsi="Arial"/>
          <w:sz w:val="20"/>
          <w:szCs w:val="20"/>
          <w:b w:val="1"/>
          <w:bCs w:val="1"/>
          <w:color w:val="auto"/>
        </w:rPr>
        <w:t>Supervisor</w:t>
      </w:r>
      <w:r>
        <w:rPr>
          <w:rFonts w:ascii="Arial" w:cs="Arial" w:eastAsia="Arial" w:hAnsi="Arial"/>
          <w:sz w:val="20"/>
          <w:szCs w:val="20"/>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in the advancement of the best interests of the Company. Notwithstanding, Executive may engage in charitable, civic, fraternal and trade association activities that do not interfere materially with Executive’s obligations to the Company and comply with the Company’s policies. Employees may serve on the boards of directors of other organizations so long as those other companies are not in direct competition with the Company and so long as the employees’ service does not otherwise present a real or perceived conflict of interest as defined by the Company’s policies. A real or perceived conflict of interest may arise if employees serve on the boards of more than one public company or if they serve on more than two boards in total.</w:t>
      </w:r>
    </w:p>
    <w:p>
      <w:pPr>
        <w:spacing w:after="0" w:line="159" w:lineRule="exact"/>
        <w:rPr>
          <w:sz w:val="20"/>
          <w:szCs w:val="20"/>
          <w:color w:val="auto"/>
        </w:rPr>
      </w:pPr>
    </w:p>
    <w:p>
      <w:pPr>
        <w:ind w:left="1920" w:hanging="642"/>
        <w:spacing w:after="0"/>
        <w:tabs>
          <w:tab w:leader="none" w:pos="192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 and Benefits</w:t>
      </w:r>
      <w:r>
        <w:rPr>
          <w:rFonts w:ascii="Arial" w:cs="Arial" w:eastAsia="Arial" w:hAnsi="Arial"/>
          <w:sz w:val="21"/>
          <w:szCs w:val="21"/>
          <w:color w:val="auto"/>
        </w:rPr>
        <w:t>.</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In exchange for services rendered by the Executive hereunder, the Company shall provide the following:</w:t>
      </w:r>
    </w:p>
    <w:p>
      <w:pPr>
        <w:spacing w:after="0" w:line="183" w:lineRule="exact"/>
        <w:rPr>
          <w:sz w:val="20"/>
          <w:szCs w:val="20"/>
          <w:color w:val="auto"/>
        </w:rPr>
      </w:pPr>
    </w:p>
    <w:p>
      <w:pPr>
        <w:ind w:firstLine="1278"/>
        <w:spacing w:after="0" w:line="239" w:lineRule="auto"/>
        <w:tabs>
          <w:tab w:leader="none" w:pos="1905"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Employment Period, Executive’s base salary shall be $500,000 per annum, or such higher amount as determined by the Company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240"/>
          </w:cols>
          <w:pgMar w:left="320" w:top="1371" w:right="339" w:bottom="1440" w:gutter="0" w:footer="0" w:header="0"/>
        </w:sectPr>
      </w:pPr>
    </w:p>
    <w:bookmarkStart w:id="56" w:name="page57"/>
    <w:bookmarkEnd w:id="56"/>
    <w:p>
      <w:pPr>
        <w:spacing w:after="0" w:line="245" w:lineRule="auto"/>
        <w:rPr>
          <w:sz w:val="20"/>
          <w:szCs w:val="20"/>
          <w:color w:val="auto"/>
        </w:rPr>
      </w:pPr>
      <w:r>
        <w:rPr>
          <w:rFonts w:ascii="Arial" w:cs="Arial" w:eastAsia="Arial" w:hAnsi="Arial"/>
          <w:sz w:val="21"/>
          <w:szCs w:val="21"/>
          <w:color w:val="auto"/>
        </w:rPr>
        <w:t>discretion, as adjusted from time to time (the “</w:t>
      </w:r>
      <w:r>
        <w:rPr>
          <w:rFonts w:ascii="Arial" w:cs="Arial" w:eastAsia="Arial" w:hAnsi="Arial"/>
          <w:sz w:val="21"/>
          <w:szCs w:val="21"/>
          <w:b w:val="1"/>
          <w:bCs w:val="1"/>
          <w:color w:val="auto"/>
        </w:rPr>
        <w:t>Base Salary</w:t>
      </w:r>
      <w:r>
        <w:rPr>
          <w:rFonts w:ascii="Arial" w:cs="Arial" w:eastAsia="Arial" w:hAnsi="Arial"/>
          <w:sz w:val="21"/>
          <w:szCs w:val="21"/>
          <w:color w:val="auto"/>
        </w:rPr>
        <w:t>”), which salary shall be payable by the Company in regular installments in accordance with the Company’s general payroll practices (in effect from time to time).</w:t>
      </w:r>
    </w:p>
    <w:p>
      <w:pPr>
        <w:spacing w:after="0" w:line="149" w:lineRule="exact"/>
        <w:rPr>
          <w:sz w:val="20"/>
          <w:szCs w:val="20"/>
          <w:color w:val="auto"/>
        </w:rPr>
      </w:pPr>
    </w:p>
    <w:p>
      <w:pPr>
        <w:jc w:val="both"/>
        <w:ind w:firstLine="1278"/>
        <w:spacing w:after="0" w:line="222" w:lineRule="auto"/>
        <w:tabs>
          <w:tab w:leader="none" w:pos="190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RSU Grants</w:t>
      </w:r>
      <w:r>
        <w:rPr>
          <w:rFonts w:ascii="Arial" w:cs="Arial" w:eastAsia="Arial" w:hAnsi="Arial"/>
          <w:sz w:val="21"/>
          <w:szCs w:val="21"/>
          <w:color w:val="auto"/>
        </w:rPr>
        <w:t>. Executive is eligible to receive additional performance grants of one million eight hundred eighty thousand dollars ($1,880,000.00) annually in RSUs, at the discretion of the Compensation Committee of Root, Inc.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 and subject to Executive meeting performance expectations for Executive’s role. Any such grants shall be governed by the Root, Inc.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as may be duly amended from time-to-time by the Root, Inc. Board of Directors.</w:t>
      </w:r>
    </w:p>
    <w:p>
      <w:pPr>
        <w:spacing w:after="0" w:line="155" w:lineRule="exact"/>
        <w:rPr>
          <w:rFonts w:ascii="Arial" w:cs="Arial" w:eastAsia="Arial" w:hAnsi="Arial"/>
          <w:sz w:val="21"/>
          <w:szCs w:val="21"/>
          <w:color w:val="auto"/>
        </w:rPr>
      </w:pPr>
    </w:p>
    <w:p>
      <w:pPr>
        <w:jc w:val="both"/>
        <w:ind w:firstLine="1278"/>
        <w:spacing w:after="0" w:line="233" w:lineRule="auto"/>
        <w:tabs>
          <w:tab w:leader="none" w:pos="190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Annual Performance Bonus</w:t>
      </w:r>
      <w:r>
        <w:rPr>
          <w:rFonts w:ascii="Arial" w:cs="Arial" w:eastAsia="Arial" w:hAnsi="Arial"/>
          <w:sz w:val="19"/>
          <w:szCs w:val="19"/>
          <w:color w:val="auto"/>
        </w:rPr>
        <w:t>. In addition to the Base Salary, Executive shall be eligible to receive an annual performance bonus of up to 60% of the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awarded to the Executive shall be paid in accordance with the Company’s policies and practices, as in effect from time to time, but in any event, no later than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calendar year. Executive must be employed on the day that the Annual Bonus, if any, is paid to be eligible to receive the bonus, unless a pro rata bonus is awarded in accordance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155" w:lineRule="exact"/>
        <w:rPr>
          <w:rFonts w:ascii="Arial" w:cs="Arial" w:eastAsia="Arial" w:hAnsi="Arial"/>
          <w:sz w:val="19"/>
          <w:szCs w:val="19"/>
          <w:color w:val="auto"/>
        </w:rPr>
      </w:pPr>
    </w:p>
    <w:p>
      <w:pPr>
        <w:jc w:val="both"/>
        <w:ind w:firstLine="1278"/>
        <w:spacing w:after="0" w:line="233" w:lineRule="auto"/>
        <w:tabs>
          <w:tab w:leader="none" w:pos="190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Double Trigger Change in Control</w:t>
      </w:r>
      <w:r>
        <w:rPr>
          <w:rFonts w:ascii="Arial" w:cs="Arial" w:eastAsia="Arial" w:hAnsi="Arial"/>
          <w:sz w:val="20"/>
          <w:szCs w:val="20"/>
          <w:color w:val="auto"/>
        </w:rPr>
        <w:t>. In the event that Executive’s employment with Company is terminated by Company or its successor or assigns without Cause (as defined below) or Executive resigns for Good Reason (as defined below) on account of or within one year from the date of the closing of a Change in Control (as defined below) (such period, the “</w:t>
      </w:r>
      <w:r>
        <w:rPr>
          <w:rFonts w:ascii="Arial" w:cs="Arial" w:eastAsia="Arial" w:hAnsi="Arial"/>
          <w:sz w:val="20"/>
          <w:szCs w:val="20"/>
          <w:b w:val="1"/>
          <w:bCs w:val="1"/>
          <w:color w:val="auto"/>
        </w:rPr>
        <w:t>Double</w:t>
      </w:r>
      <w:r>
        <w:rPr>
          <w:rFonts w:ascii="Arial" w:cs="Arial" w:eastAsia="Arial" w:hAnsi="Arial"/>
          <w:sz w:val="20"/>
          <w:szCs w:val="20"/>
          <w:color w:val="auto"/>
        </w:rPr>
        <w:t xml:space="preserve"> </w:t>
      </w:r>
      <w:r>
        <w:rPr>
          <w:rFonts w:ascii="Arial" w:cs="Arial" w:eastAsia="Arial" w:hAnsi="Arial"/>
          <w:sz w:val="20"/>
          <w:szCs w:val="20"/>
          <w:b w:val="1"/>
          <w:bCs w:val="1"/>
          <w:color w:val="auto"/>
        </w:rPr>
        <w:t>Trigger Period</w:t>
      </w:r>
      <w:r>
        <w:rPr>
          <w:rFonts w:ascii="Arial" w:cs="Arial" w:eastAsia="Arial" w:hAnsi="Arial"/>
          <w:sz w:val="20"/>
          <w:szCs w:val="20"/>
          <w:color w:val="auto"/>
        </w:rPr>
        <w:t>”), the vesting and exercisability of each of the Executive’s outstanding equity awards granted pursuant to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or any prior Company equity incentive plan shall be automatically vested in full.</w:t>
      </w:r>
    </w:p>
    <w:p>
      <w:pPr>
        <w:spacing w:after="0" w:line="155" w:lineRule="exact"/>
        <w:rPr>
          <w:rFonts w:ascii="Arial" w:cs="Arial" w:eastAsia="Arial" w:hAnsi="Arial"/>
          <w:sz w:val="20"/>
          <w:szCs w:val="20"/>
          <w:color w:val="auto"/>
        </w:rPr>
      </w:pPr>
    </w:p>
    <w:p>
      <w:pPr>
        <w:jc w:val="both"/>
        <w:ind w:firstLine="1278"/>
        <w:spacing w:after="0" w:line="222" w:lineRule="auto"/>
        <w:tabs>
          <w:tab w:leader="none" w:pos="190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 such other employees, in each case to the extent that the Executive is eligible under the terms of such plans or programs, as may be changed from time to time by the Company or the relevant insurer or administrator.</w:t>
      </w:r>
    </w:p>
    <w:p>
      <w:pPr>
        <w:spacing w:after="0" w:line="155" w:lineRule="exact"/>
        <w:rPr>
          <w:rFonts w:ascii="Arial" w:cs="Arial" w:eastAsia="Arial" w:hAnsi="Arial"/>
          <w:sz w:val="21"/>
          <w:szCs w:val="21"/>
          <w:color w:val="auto"/>
        </w:rPr>
      </w:pPr>
    </w:p>
    <w:p>
      <w:pPr>
        <w:jc w:val="both"/>
        <w:ind w:firstLine="1278"/>
        <w:spacing w:after="0" w:line="230" w:lineRule="auto"/>
        <w:tabs>
          <w:tab w:leader="none" w:pos="190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Paid Time Off</w:t>
      </w:r>
      <w:r>
        <w:rPr>
          <w:rFonts w:ascii="Arial" w:cs="Arial" w:eastAsia="Arial" w:hAnsi="Arial"/>
          <w:sz w:val="21"/>
          <w:szCs w:val="21"/>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153" w:lineRule="exact"/>
        <w:rPr>
          <w:rFonts w:ascii="Arial" w:cs="Arial" w:eastAsia="Arial" w:hAnsi="Arial"/>
          <w:sz w:val="21"/>
          <w:szCs w:val="21"/>
          <w:color w:val="auto"/>
        </w:rPr>
      </w:pPr>
    </w:p>
    <w:p>
      <w:pPr>
        <w:jc w:val="both"/>
        <w:ind w:firstLine="1278"/>
        <w:spacing w:after="0" w:line="222" w:lineRule="auto"/>
        <w:tabs>
          <w:tab w:leader="none" w:pos="1896"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18(d)</w:t>
      </w:r>
      <w:r>
        <w:rPr>
          <w:rFonts w:ascii="Arial" w:cs="Arial" w:eastAsia="Arial" w:hAnsi="Arial"/>
          <w:sz w:val="21"/>
          <w:szCs w:val="21"/>
          <w:color w:val="auto"/>
        </w:rPr>
        <w:t>, the Company shall reimburse Executive for all reasonable business expenses incurred by Executive in the course of performing Executive’s duties and responsibilities under this Agreement, so long as Executive’s business expenses are consistent with the Company’s policies in effect from time to time with respect to travel, entertainment and other business expenses, subject to the Company’s requirements with respect to reporting and documentation of such expenses.</w:t>
      </w:r>
    </w:p>
    <w:p>
      <w:pPr>
        <w:spacing w:after="0" w:line="149" w:lineRule="exact"/>
        <w:rPr>
          <w:sz w:val="20"/>
          <w:szCs w:val="20"/>
          <w:color w:val="auto"/>
        </w:rPr>
      </w:pPr>
    </w:p>
    <w:p>
      <w:pPr>
        <w:ind w:left="1920" w:hanging="642"/>
        <w:spacing w:after="0"/>
        <w:tabs>
          <w:tab w:leader="none" w:pos="192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 During the Employment Period</w:t>
      </w:r>
      <w:r>
        <w:rPr>
          <w:rFonts w:ascii="Arial" w:cs="Arial" w:eastAsia="Arial" w:hAnsi="Arial"/>
          <w:sz w:val="21"/>
          <w:szCs w:val="21"/>
          <w:color w:val="auto"/>
        </w:rPr>
        <w:t>.</w:t>
      </w:r>
    </w:p>
    <w:p>
      <w:pPr>
        <w:spacing w:after="0" w:line="189" w:lineRule="exact"/>
        <w:rPr>
          <w:sz w:val="20"/>
          <w:szCs w:val="20"/>
          <w:color w:val="auto"/>
        </w:rPr>
      </w:pPr>
    </w:p>
    <w:p>
      <w:pPr>
        <w:ind w:right="20" w:firstLine="1278"/>
        <w:spacing w:after="0" w:line="239" w:lineRule="auto"/>
        <w:tabs>
          <w:tab w:leader="none" w:pos="1896"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During the Employment Period, this Agreement and the employment of Executive by the Company may be terminated at any time as follows:</w:t>
      </w:r>
    </w:p>
    <w:p>
      <w:pPr>
        <w:spacing w:after="0" w:line="155" w:lineRule="exact"/>
        <w:rPr>
          <w:rFonts w:ascii="Arial" w:cs="Arial" w:eastAsia="Arial" w:hAnsi="Arial"/>
          <w:sz w:val="21"/>
          <w:szCs w:val="21"/>
          <w:color w:val="auto"/>
        </w:rPr>
      </w:pPr>
    </w:p>
    <w:p>
      <w:pPr>
        <w:ind w:left="2540" w:hanging="626"/>
        <w:spacing w:after="0"/>
        <w:tabs>
          <w:tab w:leader="none" w:pos="2540" w:val="left"/>
        </w:tabs>
        <w:numPr>
          <w:ilvl w:val="1"/>
          <w:numId w:val="36"/>
        </w:numPr>
        <w:rPr>
          <w:rFonts w:ascii="Arial" w:cs="Arial" w:eastAsia="Arial" w:hAnsi="Arial"/>
          <w:sz w:val="21"/>
          <w:szCs w:val="21"/>
          <w:color w:val="auto"/>
        </w:rPr>
      </w:pPr>
      <w:r>
        <w:rPr>
          <w:rFonts w:ascii="Arial" w:cs="Arial" w:eastAsia="Arial" w:hAnsi="Arial"/>
          <w:sz w:val="21"/>
          <w:szCs w:val="21"/>
          <w:color w:val="auto"/>
        </w:rPr>
        <w:t>By mutual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71" w:right="339" w:bottom="1440" w:gutter="0" w:footer="0" w:header="0"/>
        </w:sectPr>
      </w:pPr>
    </w:p>
    <w:bookmarkStart w:id="57" w:name="page58"/>
    <w:bookmarkEnd w:id="57"/>
    <w:p>
      <w:pPr>
        <w:ind w:left="1420" w:hanging="626"/>
        <w:spacing w:after="0"/>
        <w:tabs>
          <w:tab w:leader="none" w:pos="14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By the Company if Executive dies or becomes Disabled;</w:t>
      </w:r>
    </w:p>
    <w:p>
      <w:pPr>
        <w:spacing w:after="0" w:line="182" w:lineRule="exact"/>
        <w:rPr>
          <w:rFonts w:ascii="Arial" w:cs="Arial" w:eastAsia="Arial" w:hAnsi="Arial"/>
          <w:sz w:val="21"/>
          <w:szCs w:val="21"/>
          <w:color w:val="auto"/>
        </w:rPr>
      </w:pPr>
    </w:p>
    <w:p>
      <w:pPr>
        <w:ind w:left="1420" w:hanging="626"/>
        <w:spacing w:after="0"/>
        <w:tabs>
          <w:tab w:leader="none" w:pos="14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By the Company for Cause immediately upon notice;</w:t>
      </w:r>
    </w:p>
    <w:p>
      <w:pPr>
        <w:spacing w:after="0" w:line="182" w:lineRule="exact"/>
        <w:rPr>
          <w:rFonts w:ascii="Arial" w:cs="Arial" w:eastAsia="Arial" w:hAnsi="Arial"/>
          <w:sz w:val="21"/>
          <w:szCs w:val="21"/>
          <w:color w:val="auto"/>
        </w:rPr>
      </w:pPr>
    </w:p>
    <w:p>
      <w:pPr>
        <w:ind w:left="1420" w:hanging="626"/>
        <w:spacing w:after="0"/>
        <w:tabs>
          <w:tab w:leader="none" w:pos="14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By the Company without Cause upon thirty (30) days’ written notice;</w:t>
      </w:r>
    </w:p>
    <w:p>
      <w:pPr>
        <w:spacing w:after="0" w:line="182" w:lineRule="exact"/>
        <w:rPr>
          <w:rFonts w:ascii="Arial" w:cs="Arial" w:eastAsia="Arial" w:hAnsi="Arial"/>
          <w:sz w:val="21"/>
          <w:szCs w:val="21"/>
          <w:color w:val="auto"/>
        </w:rPr>
      </w:pPr>
    </w:p>
    <w:p>
      <w:pPr>
        <w:ind w:left="1420" w:hanging="626"/>
        <w:spacing w:after="0"/>
        <w:tabs>
          <w:tab w:leader="none" w:pos="14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By Executive for Good Reason; or</w:t>
      </w:r>
    </w:p>
    <w:p>
      <w:pPr>
        <w:spacing w:after="0" w:line="182" w:lineRule="exact"/>
        <w:rPr>
          <w:rFonts w:ascii="Arial" w:cs="Arial" w:eastAsia="Arial" w:hAnsi="Arial"/>
          <w:sz w:val="21"/>
          <w:szCs w:val="21"/>
          <w:color w:val="auto"/>
        </w:rPr>
      </w:pPr>
    </w:p>
    <w:p>
      <w:pPr>
        <w:ind w:left="160" w:firstLine="634"/>
        <w:spacing w:after="0" w:line="290" w:lineRule="auto"/>
        <w:tabs>
          <w:tab w:leader="none" w:pos="14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By Executive, voluntarily, at any time; provided that Executive agrees to give the Company not less than thirty (30) days written notice of Executive’s resignation unless such notice period is waived by the Company.</w:t>
      </w:r>
    </w:p>
    <w:p>
      <w:pPr>
        <w:spacing w:after="0" w:line="107" w:lineRule="exact"/>
        <w:rPr>
          <w:rFonts w:ascii="Arial" w:cs="Arial" w:eastAsia="Arial" w:hAnsi="Arial"/>
          <w:sz w:val="19"/>
          <w:szCs w:val="19"/>
          <w:color w:val="auto"/>
        </w:rPr>
      </w:pPr>
    </w:p>
    <w:p>
      <w:pPr>
        <w:ind w:left="780" w:hanging="622"/>
        <w:spacing w:after="0"/>
        <w:tabs>
          <w:tab w:leader="none" w:pos="78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Termination Payments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left="160" w:firstLine="634"/>
        <w:spacing w:after="0" w:line="239" w:lineRule="auto"/>
        <w:tabs>
          <w:tab w:leader="none" w:pos="142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xml:space="preserve">. If Executive’s employment hereunder is terminated during the Employment Period pursuant to </w:t>
      </w:r>
      <w:r>
        <w:rPr>
          <w:rFonts w:ascii="Arial" w:cs="Arial" w:eastAsia="Arial" w:hAnsi="Arial"/>
          <w:sz w:val="21"/>
          <w:szCs w:val="21"/>
          <w:u w:val="single" w:color="auto"/>
          <w:color w:val="auto"/>
        </w:rPr>
        <w:t>Sections 4(a)(iii)</w:t>
      </w:r>
      <w:r>
        <w:rPr>
          <w:rFonts w:ascii="Arial" w:cs="Arial" w:eastAsia="Arial" w:hAnsi="Arial"/>
          <w:sz w:val="21"/>
          <w:szCs w:val="21"/>
          <w:color w:val="auto"/>
        </w:rPr>
        <w:t>, Executive shall be entitled to payment of:</w:t>
      </w:r>
    </w:p>
    <w:p>
      <w:pPr>
        <w:spacing w:after="0" w:line="155" w:lineRule="exact"/>
        <w:rPr>
          <w:sz w:val="20"/>
          <w:szCs w:val="20"/>
          <w:color w:val="auto"/>
        </w:rPr>
      </w:pPr>
    </w:p>
    <w:p>
      <w:pPr>
        <w:ind w:left="1420" w:hanging="626"/>
        <w:spacing w:after="0"/>
        <w:tabs>
          <w:tab w:leader="none" w:pos="1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Executive’s accrued but unpaid Base Salary through the date of termination; and</w:t>
      </w:r>
    </w:p>
    <w:p>
      <w:pPr>
        <w:spacing w:after="0" w:line="182" w:lineRule="exact"/>
        <w:rPr>
          <w:rFonts w:ascii="Arial" w:cs="Arial" w:eastAsia="Arial" w:hAnsi="Arial"/>
          <w:sz w:val="21"/>
          <w:szCs w:val="21"/>
          <w:color w:val="auto"/>
        </w:rPr>
      </w:pPr>
    </w:p>
    <w:p>
      <w:pPr>
        <w:ind w:left="1440" w:hanging="646"/>
        <w:spacing w:after="0" w:line="239" w:lineRule="auto"/>
        <w:tabs>
          <w:tab w:leader="none" w:pos="1431"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any properly documented reimbursable expenses owed to Executive (clauses (A) and (B) of this </w:t>
      </w:r>
      <w:r>
        <w:rPr>
          <w:rFonts w:ascii="Arial" w:cs="Arial" w:eastAsia="Arial" w:hAnsi="Arial"/>
          <w:sz w:val="21"/>
          <w:szCs w:val="21"/>
          <w:u w:val="single" w:color="auto"/>
          <w:color w:val="auto"/>
        </w:rPr>
        <w:t>Section 4(b)(i)</w:t>
      </w:r>
      <w:r>
        <w:rPr>
          <w:rFonts w:ascii="Arial" w:cs="Arial" w:eastAsia="Arial" w:hAnsi="Arial"/>
          <w:sz w:val="21"/>
          <w:szCs w:val="21"/>
          <w:color w:val="auto"/>
        </w:rPr>
        <w:t>, collectively, the “</w:t>
      </w:r>
      <w:r>
        <w:rPr>
          <w:rFonts w:ascii="Arial" w:cs="Arial" w:eastAsia="Arial" w:hAnsi="Arial"/>
          <w:sz w:val="21"/>
          <w:szCs w:val="21"/>
          <w:b w:val="1"/>
          <w:bCs w:val="1"/>
          <w:color w:val="auto"/>
        </w:rPr>
        <w:t>Accrued Obligations</w:t>
      </w:r>
      <w:r>
        <w:rPr>
          <w:rFonts w:ascii="Arial" w:cs="Arial" w:eastAsia="Arial" w:hAnsi="Arial"/>
          <w:sz w:val="21"/>
          <w:szCs w:val="21"/>
          <w:color w:val="auto"/>
        </w:rPr>
        <w:t>”).</w:t>
      </w:r>
    </w:p>
    <w:p>
      <w:pPr>
        <w:spacing w:after="0" w:line="155" w:lineRule="exact"/>
        <w:rPr>
          <w:sz w:val="20"/>
          <w:szCs w:val="20"/>
          <w:color w:val="auto"/>
        </w:rPr>
      </w:pPr>
    </w:p>
    <w:p>
      <w:pPr>
        <w:jc w:val="both"/>
        <w:ind w:left="160" w:firstLine="634"/>
        <w:spacing w:after="0" w:line="230" w:lineRule="auto"/>
        <w:tabs>
          <w:tab w:leader="none" w:pos="142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Termination upon Death or Disability</w:t>
      </w:r>
      <w:r>
        <w:rPr>
          <w:rFonts w:ascii="Arial" w:cs="Arial" w:eastAsia="Arial" w:hAnsi="Arial"/>
          <w:sz w:val="21"/>
          <w:szCs w:val="21"/>
          <w:color w:val="auto"/>
        </w:rPr>
        <w:t xml:space="preserve">. If Executive’s employment hereunder and the Employment are terminated during the Employment Period pursuant to </w:t>
      </w:r>
      <w:r>
        <w:rPr>
          <w:rFonts w:ascii="Arial" w:cs="Arial" w:eastAsia="Arial" w:hAnsi="Arial"/>
          <w:sz w:val="21"/>
          <w:szCs w:val="21"/>
          <w:u w:val="single" w:color="auto"/>
          <w:color w:val="auto"/>
        </w:rPr>
        <w:t>Section 4(a)(ii)</w:t>
      </w:r>
      <w:r>
        <w:rPr>
          <w:rFonts w:ascii="Arial" w:cs="Arial" w:eastAsia="Arial" w:hAnsi="Arial"/>
          <w:sz w:val="21"/>
          <w:szCs w:val="21"/>
          <w:color w:val="auto"/>
        </w:rPr>
        <w:t>, Executive, or his estate if applicable, shall be entitled to payment of:</w:t>
      </w:r>
    </w:p>
    <w:p>
      <w:pPr>
        <w:spacing w:after="0" w:line="154" w:lineRule="exact"/>
        <w:rPr>
          <w:sz w:val="20"/>
          <w:szCs w:val="20"/>
          <w:color w:val="auto"/>
        </w:rPr>
      </w:pPr>
    </w:p>
    <w:p>
      <w:pPr>
        <w:ind w:left="1420" w:hanging="626"/>
        <w:spacing w:after="0"/>
        <w:tabs>
          <w:tab w:leader="none" w:pos="1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Accrued Obligations;</w:t>
      </w:r>
    </w:p>
    <w:p>
      <w:pPr>
        <w:spacing w:after="0" w:line="182" w:lineRule="exact"/>
        <w:rPr>
          <w:rFonts w:ascii="Arial" w:cs="Arial" w:eastAsia="Arial" w:hAnsi="Arial"/>
          <w:sz w:val="21"/>
          <w:szCs w:val="21"/>
          <w:color w:val="auto"/>
        </w:rPr>
      </w:pPr>
    </w:p>
    <w:p>
      <w:pPr>
        <w:jc w:val="both"/>
        <w:ind w:left="1440" w:hanging="646"/>
        <w:spacing w:after="0" w:line="261" w:lineRule="auto"/>
        <w:tabs>
          <w:tab w:leader="none" w:pos="14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an amount equal to the portion of the Annual Bonus, if any, to be awarded to Executive pursuant to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from the period beginning on January 1st of the year in which Executive’s employment with the Company is terminated, through the date of such termination on a pro rata basis.</w:t>
      </w:r>
    </w:p>
    <w:p>
      <w:pPr>
        <w:spacing w:after="0" w:line="135" w:lineRule="exact"/>
        <w:rPr>
          <w:sz w:val="20"/>
          <w:szCs w:val="20"/>
          <w:color w:val="auto"/>
        </w:rPr>
      </w:pPr>
    </w:p>
    <w:p>
      <w:pPr>
        <w:jc w:val="both"/>
        <w:ind w:left="160" w:firstLine="634"/>
        <w:spacing w:after="0" w:line="225" w:lineRule="auto"/>
        <w:tabs>
          <w:tab w:leader="none" w:pos="142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Termination by Mutual Agreement, by the Company without Cause, by Executive for Good Reason or upon Executive’s Resignation</w:t>
      </w:r>
      <w:r>
        <w:rPr>
          <w:rFonts w:ascii="Arial" w:cs="Arial" w:eastAsia="Arial" w:hAnsi="Arial"/>
          <w:sz w:val="21"/>
          <w:szCs w:val="21"/>
          <w:color w:val="auto"/>
        </w:rPr>
        <w:t xml:space="preserve">. If Executive’s employment hereunder and the Employment Period are terminated during the Employment Period pursuant to </w:t>
      </w:r>
      <w:r>
        <w:rPr>
          <w:rFonts w:ascii="Arial" w:cs="Arial" w:eastAsia="Arial" w:hAnsi="Arial"/>
          <w:sz w:val="21"/>
          <w:szCs w:val="21"/>
          <w:u w:val="single" w:color="auto"/>
          <w:color w:val="auto"/>
        </w:rPr>
        <w:t>Sections 4(a)(i), (iv), (v) or (vi)</w:t>
      </w:r>
      <w:r>
        <w:rPr>
          <w:rFonts w:ascii="Arial" w:cs="Arial" w:eastAsia="Arial" w:hAnsi="Arial"/>
          <w:sz w:val="21"/>
          <w:szCs w:val="21"/>
          <w:color w:val="auto"/>
        </w:rPr>
        <w:t>, Executive shall be entitled to the following:</w:t>
      </w:r>
    </w:p>
    <w:p>
      <w:pPr>
        <w:spacing w:after="0" w:line="154" w:lineRule="exact"/>
        <w:rPr>
          <w:sz w:val="20"/>
          <w:szCs w:val="20"/>
          <w:color w:val="auto"/>
        </w:rPr>
      </w:pPr>
    </w:p>
    <w:p>
      <w:pPr>
        <w:ind w:left="1420" w:hanging="626"/>
        <w:spacing w:after="0"/>
        <w:tabs>
          <w:tab w:leader="none" w:pos="14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payment of Accrued Obligations;</w:t>
      </w:r>
    </w:p>
    <w:p>
      <w:pPr>
        <w:spacing w:after="0" w:line="182" w:lineRule="exact"/>
        <w:rPr>
          <w:rFonts w:ascii="Arial" w:cs="Arial" w:eastAsia="Arial" w:hAnsi="Arial"/>
          <w:sz w:val="21"/>
          <w:szCs w:val="21"/>
          <w:color w:val="auto"/>
        </w:rPr>
      </w:pPr>
    </w:p>
    <w:p>
      <w:pPr>
        <w:ind w:left="1440" w:hanging="646"/>
        <w:spacing w:after="0" w:line="239" w:lineRule="auto"/>
        <w:tabs>
          <w:tab w:leader="none" w:pos="1434"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 amount equal to twelve (12) months of Executive’s per annum Base Salary as of the date of termination (the “</w:t>
      </w:r>
      <w:r>
        <w:rPr>
          <w:rFonts w:ascii="Arial" w:cs="Arial" w:eastAsia="Arial" w:hAnsi="Arial"/>
          <w:sz w:val="21"/>
          <w:szCs w:val="21"/>
          <w:b w:val="1"/>
          <w:bCs w:val="1"/>
          <w:color w:val="auto"/>
        </w:rPr>
        <w:t>Severance</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440" w:hanging="646"/>
        <w:spacing w:after="0" w:line="263" w:lineRule="auto"/>
        <w:tabs>
          <w:tab w:leader="none" w:pos="1429"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an amount equal to the portion of the Annual Bonus, if any, to be awarded to Executive pursuant to </w:t>
      </w:r>
      <w:r>
        <w:rPr>
          <w:rFonts w:ascii="Arial" w:cs="Arial" w:eastAsia="Arial" w:hAnsi="Arial"/>
          <w:sz w:val="20"/>
          <w:szCs w:val="20"/>
          <w:u w:val="single" w:color="auto"/>
          <w:color w:val="auto"/>
        </w:rPr>
        <w:t>Section 3(c)</w:t>
      </w:r>
      <w:r>
        <w:rPr>
          <w:rFonts w:ascii="Arial" w:cs="Arial" w:eastAsia="Arial" w:hAnsi="Arial"/>
          <w:sz w:val="20"/>
          <w:szCs w:val="20"/>
          <w:color w:val="auto"/>
        </w:rPr>
        <w:t xml:space="preserve"> from the period beginning on January 1st of the year in which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20"/>
          </w:cols>
          <w:pgMar w:left="1440" w:top="1377" w:right="339" w:bottom="1440" w:gutter="0" w:footer="0" w:header="0"/>
        </w:sectPr>
      </w:pPr>
    </w:p>
    <w:bookmarkStart w:id="58" w:name="page59"/>
    <w:bookmarkEnd w:id="58"/>
    <w:p>
      <w:pPr>
        <w:ind w:left="2560"/>
        <w:spacing w:after="0"/>
        <w:rPr>
          <w:sz w:val="20"/>
          <w:szCs w:val="20"/>
          <w:color w:val="auto"/>
        </w:rPr>
      </w:pPr>
      <w:r>
        <w:rPr>
          <w:rFonts w:ascii="Arial" w:cs="Arial" w:eastAsia="Arial" w:hAnsi="Arial"/>
          <w:sz w:val="19"/>
          <w:szCs w:val="19"/>
          <w:color w:val="auto"/>
        </w:rPr>
        <w:t>employment with the Company is terminated, through the date of such termination on a pro rata basis;</w:t>
      </w:r>
    </w:p>
    <w:p>
      <w:pPr>
        <w:spacing w:after="0" w:line="206" w:lineRule="exact"/>
        <w:rPr>
          <w:sz w:val="20"/>
          <w:szCs w:val="20"/>
          <w:color w:val="auto"/>
        </w:rPr>
      </w:pPr>
    </w:p>
    <w:p>
      <w:pPr>
        <w:jc w:val="both"/>
        <w:ind w:left="2560" w:hanging="646"/>
        <w:spacing w:after="0" w:line="235" w:lineRule="auto"/>
        <w:tabs>
          <w:tab w:leader="none" w:pos="2549"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Executive timely elects continued coverage under COBRA for Executive and Executive’s covered dependents under the Company’s group health plans following such termination or resignation of employment, then the Company shall (in the Company’s discretion) pay directly or reimburse Executive for the payment of the COBRA premiums necessary to continue Executive’s health insurance coverage in effect for Executive and Executive’s eligible dependents on the Separation from Service date until the earliest of (A) the 12-month period following the termination of Executive’s employment, (B) the expiration of Executive’s eligibility for the continuation coverage under COBRA, or (C) the date when Executive becomes eligible for substantially equivalent health insurance coverage in connection with new employment or self-employment (such period from the termination date through the earliest of (A) through (C), the “COBRA Payment Period”). Notwithstanding the foregoing, if the Company determines, in its sole discretion, that the payment of the COBRA premiums could result in a violation of the nondiscrimination rules of Section 105(h)(2) of Section 409A of the Internal Revenue Code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“Special Severance Payment”), for the remainder of the COBRA Payment Period. Executive may, but is not obligated to, use such Special Severance Payment toward the cost of COBRA premiums. If Executive becomes eligible for coverage under another employer’s group health plan or otherwise ceases to be eligible for COBRA during the period provided in this clause, Executive must immediately notify the Company of such event, and all payments and obligations under this clause shall cease; and</w:t>
      </w:r>
    </w:p>
    <w:p>
      <w:pPr>
        <w:spacing w:after="0" w:line="167" w:lineRule="exact"/>
        <w:rPr>
          <w:rFonts w:ascii="Arial" w:cs="Arial" w:eastAsia="Arial" w:hAnsi="Arial"/>
          <w:sz w:val="19"/>
          <w:szCs w:val="19"/>
          <w:color w:val="auto"/>
        </w:rPr>
      </w:pPr>
    </w:p>
    <w:p>
      <w:pPr>
        <w:jc w:val="both"/>
        <w:ind w:left="2560" w:hanging="646"/>
        <w:spacing w:after="0" w:line="220" w:lineRule="auto"/>
        <w:tabs>
          <w:tab w:leader="none" w:pos="25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Executive’s employment hereunder and the Employment Period are terminated during the Employment Period pursuant to Sections 4(a)(i), (iv), or (v) (and, for the avoidance of doubt, not pursuant to Section 4(a)(vi)), the Company shall accelerate the vesting of any then-unvested Company equity awards then held by Executive such that as of Executive’s date of termination, Executive will be deemed vested in those equity awards that would have vested had Executive remained employed with the Company for an additional 12 months.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The amounts described in clauses (B), (C) and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will be paid in a lump sum within sixty (60) days following the date of termination, provided that Executive (or, in the event of Executive’s death, Executive’s estate) has executed and delivered to the Company not later than thirty (30) calendar days following the date of termination a waiver and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240"/>
          </w:cols>
          <w:pgMar w:left="320" w:top="1377" w:right="339" w:bottom="1440" w:gutter="0" w:footer="0" w:header="0"/>
        </w:sectPr>
      </w:pPr>
    </w:p>
    <w:bookmarkStart w:id="59" w:name="page60"/>
    <w:bookmarkEnd w:id="59"/>
    <w:p>
      <w:pPr>
        <w:jc w:val="both"/>
        <w:spacing w:after="0" w:line="235" w:lineRule="auto"/>
        <w:rPr>
          <w:sz w:val="20"/>
          <w:szCs w:val="20"/>
          <w:color w:val="auto"/>
        </w:rPr>
      </w:pPr>
      <w:r>
        <w:rPr>
          <w:rFonts w:ascii="Arial" w:cs="Arial" w:eastAsia="Arial" w:hAnsi="Arial"/>
          <w:sz w:val="19"/>
          <w:szCs w:val="19"/>
          <w:color w:val="auto"/>
        </w:rPr>
        <w:t>claims in the form provided by the Company to Executive (or, in the event of Executive’s death, Executive’s estate) after Executive’s termination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or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that constitutes “nonqualified deferred compensation” within the meaning of Code Section 409A and the regulations and guidance promulgated thereunder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if the sixty (60) day period begins in one calendar year and ends in a second (2nd) calendar year, payment shall always be paid in the second (2nd) calendar year. All payments of amounts described in clauses (B),</w:t>
      </w:r>
    </w:p>
    <w:p>
      <w:pPr>
        <w:spacing w:after="0" w:line="4" w:lineRule="exact"/>
        <w:rPr>
          <w:sz w:val="20"/>
          <w:szCs w:val="20"/>
          <w:color w:val="auto"/>
        </w:rPr>
      </w:pPr>
    </w:p>
    <w:p>
      <w:pPr>
        <w:jc w:val="both"/>
        <w:ind w:firstLine="6"/>
        <w:spacing w:after="0" w:line="235" w:lineRule="auto"/>
        <w:tabs>
          <w:tab w:leader="none" w:pos="336"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and (E) of this </w:t>
      </w:r>
      <w:r>
        <w:rPr>
          <w:rFonts w:ascii="Arial" w:cs="Arial" w:eastAsia="Arial" w:hAnsi="Arial"/>
          <w:sz w:val="20"/>
          <w:szCs w:val="20"/>
          <w:u w:val="single" w:color="auto"/>
          <w:color w:val="auto"/>
        </w:rPr>
        <w:t>Section 4(b)(iii)</w:t>
      </w:r>
      <w:r>
        <w:rPr>
          <w:rFonts w:ascii="Arial" w:cs="Arial" w:eastAsia="Arial" w:hAnsi="Arial"/>
          <w:sz w:val="20"/>
          <w:szCs w:val="20"/>
          <w:color w:val="auto"/>
        </w:rPr>
        <w:t xml:space="preserve"> are subject to clawback by the Company in the event of any knowing breach by Executive of the provisions of </w:t>
      </w:r>
      <w:r>
        <w:rPr>
          <w:rFonts w:ascii="Arial" w:cs="Arial" w:eastAsia="Arial" w:hAnsi="Arial"/>
          <w:sz w:val="20"/>
          <w:szCs w:val="20"/>
          <w:u w:val="single" w:color="auto"/>
          <w:color w:val="auto"/>
        </w:rPr>
        <w:t>Sections 5, 6, 7, 8, 20 or 21</w:t>
      </w:r>
      <w:r>
        <w:rPr>
          <w:rFonts w:ascii="Arial" w:cs="Arial" w:eastAsia="Arial" w:hAnsi="Arial"/>
          <w:sz w:val="20"/>
          <w:szCs w:val="20"/>
          <w:color w:val="auto"/>
        </w:rPr>
        <w:t xml:space="preserve"> hereof. Such clawback shall apply to payments that would have been made to Executive after the date of a proven breach had payments been made monthly rather than in a lump sum.</w:t>
      </w:r>
    </w:p>
    <w:p>
      <w:pPr>
        <w:spacing w:after="0" w:line="154" w:lineRule="exact"/>
        <w:rPr>
          <w:rFonts w:ascii="Arial" w:cs="Arial" w:eastAsia="Arial" w:hAnsi="Arial"/>
          <w:sz w:val="20"/>
          <w:szCs w:val="20"/>
          <w:color w:val="auto"/>
        </w:rPr>
      </w:pPr>
    </w:p>
    <w:p>
      <w:pPr>
        <w:jc w:val="both"/>
        <w:ind w:firstLine="1278"/>
        <w:spacing w:after="0" w:line="218" w:lineRule="auto"/>
        <w:tabs>
          <w:tab w:leader="none" w:pos="1905"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Limitation on Payments Hereunder</w:t>
      </w:r>
      <w:r>
        <w:rPr>
          <w:rFonts w:ascii="Arial" w:cs="Arial" w:eastAsia="Arial" w:hAnsi="Arial"/>
          <w:sz w:val="21"/>
          <w:szCs w:val="21"/>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153" w:lineRule="exact"/>
        <w:rPr>
          <w:rFonts w:ascii="Arial" w:cs="Arial" w:eastAsia="Arial" w:hAnsi="Arial"/>
          <w:sz w:val="21"/>
          <w:szCs w:val="21"/>
          <w:color w:val="auto"/>
        </w:rPr>
      </w:pPr>
    </w:p>
    <w:p>
      <w:pPr>
        <w:ind w:firstLine="1278"/>
        <w:spacing w:after="0" w:line="239" w:lineRule="auto"/>
        <w:tabs>
          <w:tab w:leader="none" w:pos="1903"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Offsets</w:t>
      </w:r>
      <w:r>
        <w:rPr>
          <w:rFonts w:ascii="Arial" w:cs="Arial" w:eastAsia="Arial" w:hAnsi="Arial"/>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55" w:lineRule="exact"/>
        <w:rPr>
          <w:rFonts w:ascii="Arial" w:cs="Arial" w:eastAsia="Arial" w:hAnsi="Arial"/>
          <w:sz w:val="21"/>
          <w:szCs w:val="21"/>
          <w:color w:val="auto"/>
        </w:rPr>
      </w:pPr>
    </w:p>
    <w:p>
      <w:pPr>
        <w:jc w:val="both"/>
        <w:ind w:firstLine="1278"/>
        <w:spacing w:after="0" w:line="231" w:lineRule="auto"/>
        <w:tabs>
          <w:tab w:leader="none" w:pos="1905"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Notice Period</w:t>
      </w:r>
      <w:r>
        <w:rPr>
          <w:rFonts w:ascii="Arial" w:cs="Arial" w:eastAsia="Arial" w:hAnsi="Arial"/>
          <w:sz w:val="20"/>
          <w:szCs w:val="20"/>
          <w:color w:val="auto"/>
        </w:rPr>
        <w:t xml:space="preserve">. During the period following delivery of notice of the Executive’s termination, whether voluntarily by the Executive or by the Company without Cause pursuant to </w:t>
      </w:r>
      <w:r>
        <w:rPr>
          <w:rFonts w:ascii="Arial" w:cs="Arial" w:eastAsia="Arial" w:hAnsi="Arial"/>
          <w:sz w:val="20"/>
          <w:szCs w:val="20"/>
          <w:u w:val="single" w:color="auto"/>
          <w:color w:val="auto"/>
        </w:rPr>
        <w:t>Section 4(a)</w:t>
      </w:r>
      <w:r>
        <w:rPr>
          <w:rFonts w:ascii="Arial" w:cs="Arial" w:eastAsia="Arial" w:hAnsi="Arial"/>
          <w:sz w:val="20"/>
          <w:szCs w:val="20"/>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 (iii) to the extent practical given the Company’s requirements under subsection (i) above, require the Executive not to have any contact with employees, clients or vendors of the Company as the Company shall determine; and (iv) exclude the Executive from the Company premises.</w:t>
      </w:r>
    </w:p>
    <w:p>
      <w:pPr>
        <w:spacing w:after="0" w:line="155" w:lineRule="exact"/>
        <w:rPr>
          <w:rFonts w:ascii="Arial" w:cs="Arial" w:eastAsia="Arial" w:hAnsi="Arial"/>
          <w:sz w:val="20"/>
          <w:szCs w:val="20"/>
          <w:color w:val="auto"/>
        </w:rPr>
      </w:pPr>
    </w:p>
    <w:p>
      <w:pPr>
        <w:jc w:val="both"/>
        <w:ind w:firstLine="1278"/>
        <w:spacing w:after="0" w:line="222" w:lineRule="auto"/>
        <w:tabs>
          <w:tab w:leader="none" w:pos="1903"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Payment in Lieu of Notice</w:t>
      </w:r>
      <w:r>
        <w:rPr>
          <w:rFonts w:ascii="Arial" w:cs="Arial" w:eastAsia="Arial" w:hAnsi="Arial"/>
          <w:sz w:val="21"/>
          <w:szCs w:val="21"/>
          <w:color w:val="auto"/>
        </w:rPr>
        <w:t xml:space="preserve">. The Company may, at its absolute discretion, when terminating the Executive’s employment without Cause pursuant to </w:t>
      </w:r>
      <w:r>
        <w:rPr>
          <w:rFonts w:ascii="Arial" w:cs="Arial" w:eastAsia="Arial" w:hAnsi="Arial"/>
          <w:sz w:val="21"/>
          <w:szCs w:val="21"/>
          <w:u w:val="single" w:color="auto"/>
          <w:color w:val="auto"/>
        </w:rPr>
        <w:t>Sections 4(a)(iv)</w:t>
      </w:r>
      <w:r>
        <w:rPr>
          <w:rFonts w:ascii="Arial" w:cs="Arial" w:eastAsia="Arial" w:hAnsi="Arial"/>
          <w:sz w:val="21"/>
          <w:szCs w:val="21"/>
          <w:color w:val="auto"/>
        </w:rPr>
        <w:t>, elect to notify the Executive in writing that it is exercising its right to dismiss the Executive with immediate effect and that it will be making a payment to the Executive in lieu of notice. The Company’s payment in lieu of notice shall be equivalent to the Base Salary which would have been payable or have accrued during the Executive’s notice period.</w:t>
      </w:r>
    </w:p>
    <w:p>
      <w:pPr>
        <w:spacing w:after="0" w:line="155" w:lineRule="exact"/>
        <w:rPr>
          <w:rFonts w:ascii="Arial" w:cs="Arial" w:eastAsia="Arial" w:hAnsi="Arial"/>
          <w:sz w:val="21"/>
          <w:szCs w:val="21"/>
          <w:color w:val="auto"/>
        </w:rPr>
      </w:pPr>
    </w:p>
    <w:p>
      <w:pPr>
        <w:jc w:val="both"/>
        <w:ind w:firstLine="1278"/>
        <w:spacing w:after="0" w:line="225" w:lineRule="auto"/>
        <w:tabs>
          <w:tab w:leader="none" w:pos="1905"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Resignation Upon Termination</w:t>
      </w:r>
      <w:r>
        <w:rPr>
          <w:rFonts w:ascii="Arial" w:cs="Arial" w:eastAsia="Arial" w:hAnsi="Arial"/>
          <w:sz w:val="21"/>
          <w:szCs w:val="21"/>
          <w:color w:val="auto"/>
        </w:rPr>
        <w:t>. Upon termination of the Executive’s employment for any reason, the Executive agrees and covenants that the Executive shall immediately tender a resignation to the Company for any position held by the Executive as an officer of Root, Inc. or any of its Subsidiaries or Affiliates or as a member of the board of directors or any committee thereof of Root, Inc. or any of its Subsidiaries or Affiliates.</w:t>
      </w:r>
    </w:p>
    <w:p>
      <w:pPr>
        <w:spacing w:after="0" w:line="148" w:lineRule="exact"/>
        <w:rPr>
          <w:sz w:val="20"/>
          <w:szCs w:val="20"/>
          <w:color w:val="auto"/>
        </w:rPr>
      </w:pPr>
    </w:p>
    <w:p>
      <w:pPr>
        <w:ind w:left="1920" w:hanging="642"/>
        <w:spacing w:after="0"/>
        <w:tabs>
          <w:tab w:leader="none" w:pos="192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Proprietary Information and Trade Secrets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77" w:right="339" w:bottom="1440" w:gutter="0" w:footer="0" w:header="0"/>
        </w:sectPr>
      </w:pPr>
    </w:p>
    <w:bookmarkStart w:id="60" w:name="page61"/>
    <w:bookmarkEnd w:id="60"/>
    <w:p>
      <w:pPr>
        <w:jc w:val="both"/>
        <w:ind w:left="-1120" w:firstLine="1278"/>
        <w:spacing w:after="0" w:line="220" w:lineRule="auto"/>
        <w:tabs>
          <w:tab w:leader="none" w:pos="785"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and Invention Agreement</w:t>
      </w:r>
      <w:r>
        <w:rPr>
          <w:rFonts w:ascii="Arial" w:cs="Arial" w:eastAsia="Arial" w:hAnsi="Arial"/>
          <w:sz w:val="21"/>
          <w:szCs w:val="21"/>
          <w:color w:val="auto"/>
        </w:rPr>
        <w:t>. Executive understands and acknowledges that during the course of employment by the Company, the Executive will have access to and learn about Proprietary Information and trade secrets (“Proprietary Information”) as outlined and defined in Executive’s Proprietary Information and Invention Agreement (“PII Agreement”, incorporated throughout this Agreement). Executive agrees that upon termination of employment, Executive’s obligations under the PII Agreement continue where applicable and that Executive must return all such Proprietary Information as outlined in the PII Agreement.</w:t>
      </w:r>
    </w:p>
    <w:p>
      <w:pPr>
        <w:spacing w:after="0" w:line="155" w:lineRule="exact"/>
        <w:rPr>
          <w:rFonts w:ascii="Arial" w:cs="Arial" w:eastAsia="Arial" w:hAnsi="Arial"/>
          <w:sz w:val="21"/>
          <w:szCs w:val="21"/>
          <w:color w:val="auto"/>
        </w:rPr>
      </w:pPr>
    </w:p>
    <w:p>
      <w:pPr>
        <w:jc w:val="both"/>
        <w:ind w:left="-1120" w:firstLine="1278"/>
        <w:spacing w:after="0" w:line="220" w:lineRule="auto"/>
        <w:tabs>
          <w:tab w:leader="none" w:pos="78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Non-Use and Non-Disclosure</w:t>
      </w:r>
      <w:r>
        <w:rPr>
          <w:rFonts w:ascii="Arial" w:cs="Arial" w:eastAsia="Arial" w:hAnsi="Arial"/>
          <w:sz w:val="21"/>
          <w:szCs w:val="21"/>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155" w:lineRule="exact"/>
        <w:rPr>
          <w:rFonts w:ascii="Arial" w:cs="Arial" w:eastAsia="Arial" w:hAnsi="Arial"/>
          <w:sz w:val="21"/>
          <w:szCs w:val="21"/>
          <w:color w:val="auto"/>
        </w:rPr>
      </w:pPr>
    </w:p>
    <w:p>
      <w:pPr>
        <w:jc w:val="both"/>
        <w:ind w:left="-1120" w:firstLine="1278"/>
        <w:spacing w:after="0" w:line="238" w:lineRule="auto"/>
        <w:tabs>
          <w:tab w:leader="none" w:pos="78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Permitted Governmental Disclosures</w:t>
      </w:r>
      <w:r>
        <w:rPr>
          <w:rFonts w:ascii="Arial" w:cs="Arial" w:eastAsia="Arial" w:hAnsi="Arial"/>
          <w:sz w:val="19"/>
          <w:szCs w:val="19"/>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156" w:lineRule="exact"/>
        <w:rPr>
          <w:rFonts w:ascii="Arial" w:cs="Arial" w:eastAsia="Arial" w:hAnsi="Arial"/>
          <w:sz w:val="19"/>
          <w:szCs w:val="19"/>
          <w:color w:val="auto"/>
        </w:rPr>
      </w:pPr>
    </w:p>
    <w:p>
      <w:pPr>
        <w:jc w:val="both"/>
        <w:ind w:left="-1120" w:firstLine="1278"/>
        <w:spacing w:after="0" w:line="242" w:lineRule="auto"/>
        <w:tabs>
          <w:tab w:leader="none" w:pos="78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Third Party Information</w:t>
      </w:r>
      <w:r>
        <w:rPr>
          <w:rFonts w:ascii="Arial" w:cs="Arial" w:eastAsia="Arial" w:hAnsi="Arial"/>
          <w:sz w:val="19"/>
          <w:szCs w:val="19"/>
          <w:color w:val="auto"/>
        </w:rPr>
        <w:t>. Executive understands that the Company will receive from third parties confidential or proprietary information (“</w:t>
      </w:r>
      <w:r>
        <w:rPr>
          <w:rFonts w:ascii="Arial" w:cs="Arial" w:eastAsia="Arial" w:hAnsi="Arial"/>
          <w:sz w:val="19"/>
          <w:szCs w:val="19"/>
          <w:b w:val="1"/>
          <w:bCs w:val="1"/>
          <w:color w:val="auto"/>
        </w:rPr>
        <w:t>Third Party Information</w:t>
      </w:r>
      <w:r>
        <w:rPr>
          <w:rFonts w:ascii="Arial" w:cs="Arial" w:eastAsia="Arial" w:hAnsi="Arial"/>
          <w:sz w:val="19"/>
          <w:szCs w:val="19"/>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pacing w:after="0" w:line="148" w:lineRule="exact"/>
        <w:rPr>
          <w:sz w:val="20"/>
          <w:szCs w:val="20"/>
          <w:color w:val="auto"/>
        </w:rPr>
      </w:pPr>
    </w:p>
    <w:p>
      <w:pPr>
        <w:ind w:left="800" w:hanging="642"/>
        <w:spacing w:after="0"/>
        <w:tabs>
          <w:tab w:leader="none" w:pos="80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Non-Compete; Non-Solicitation</w:t>
      </w:r>
      <w:r>
        <w:rPr>
          <w:rFonts w:ascii="Arial" w:cs="Arial" w:eastAsia="Arial" w:hAnsi="Arial"/>
          <w:sz w:val="21"/>
          <w:szCs w:val="21"/>
          <w:color w:val="auto"/>
        </w:rPr>
        <w:t>.</w:t>
      </w:r>
    </w:p>
    <w:p>
      <w:pPr>
        <w:spacing w:after="0" w:line="189" w:lineRule="exact"/>
        <w:rPr>
          <w:sz w:val="20"/>
          <w:szCs w:val="20"/>
          <w:color w:val="auto"/>
        </w:rPr>
      </w:pPr>
    </w:p>
    <w:p>
      <w:pPr>
        <w:jc w:val="both"/>
        <w:ind w:left="-1120" w:firstLine="1278"/>
        <w:spacing w:after="0" w:line="222" w:lineRule="auto"/>
        <w:tabs>
          <w:tab w:leader="none" w:pos="78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6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0120"/>
          </w:cols>
          <w:pgMar w:left="1440" w:top="1377" w:right="339" w:bottom="1440" w:gutter="0" w:footer="0" w:header="0"/>
        </w:sectPr>
      </w:pPr>
    </w:p>
    <w:bookmarkStart w:id="61" w:name="page62"/>
    <w:bookmarkEnd w:id="61"/>
    <w:p>
      <w:pPr>
        <w:jc w:val="both"/>
        <w:spacing w:after="0" w:line="225" w:lineRule="auto"/>
        <w:rPr>
          <w:sz w:val="20"/>
          <w:szCs w:val="20"/>
          <w:color w:val="auto"/>
        </w:rPr>
      </w:pPr>
      <w:r>
        <w:rPr>
          <w:rFonts w:ascii="Arial" w:cs="Arial" w:eastAsia="Arial" w:hAnsi="Arial"/>
          <w:sz w:val="21"/>
          <w:szCs w:val="21"/>
          <w:color w:val="auto"/>
        </w:rPr>
        <w:t>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154" w:lineRule="exact"/>
        <w:rPr>
          <w:sz w:val="20"/>
          <w:szCs w:val="20"/>
          <w:color w:val="auto"/>
        </w:rPr>
      </w:pPr>
    </w:p>
    <w:p>
      <w:pPr>
        <w:jc w:val="both"/>
        <w:ind w:left="1280"/>
        <w:spacing w:after="0" w:line="222" w:lineRule="auto"/>
        <w:rPr>
          <w:sz w:val="20"/>
          <w:szCs w:val="20"/>
          <w:color w:val="auto"/>
        </w:rPr>
      </w:pPr>
      <w:r>
        <w:rPr>
          <w:rFonts w:ascii="Arial" w:cs="Arial" w:eastAsia="Arial" w:hAnsi="Arial"/>
          <w:sz w:val="21"/>
          <w:szCs w:val="21"/>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Executive (i) is not a controlling person of, or a member of a group which controls, such person or entity and (ii) does not, directly or indirectly, own 5% or more of any class of securities of such person or entity.</w:t>
      </w:r>
    </w:p>
    <w:p>
      <w:pPr>
        <w:spacing w:after="0" w:line="155" w:lineRule="exact"/>
        <w:rPr>
          <w:sz w:val="20"/>
          <w:szCs w:val="20"/>
          <w:color w:val="auto"/>
        </w:rPr>
      </w:pPr>
    </w:p>
    <w:p>
      <w:pPr>
        <w:jc w:val="both"/>
        <w:ind w:left="1280"/>
        <w:spacing w:after="0" w:line="225" w:lineRule="auto"/>
        <w:rPr>
          <w:sz w:val="20"/>
          <w:szCs w:val="20"/>
          <w:color w:val="auto"/>
        </w:rPr>
      </w:pPr>
      <w:r>
        <w:rPr>
          <w:rFonts w:ascii="Arial" w:cs="Arial" w:eastAsia="Arial" w:hAnsi="Arial"/>
          <w:sz w:val="21"/>
          <w:szCs w:val="21"/>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54" w:lineRule="exact"/>
        <w:rPr>
          <w:sz w:val="20"/>
          <w:szCs w:val="20"/>
          <w:color w:val="auto"/>
        </w:rPr>
      </w:pPr>
    </w:p>
    <w:p>
      <w:pPr>
        <w:jc w:val="both"/>
        <w:ind w:firstLine="1278"/>
        <w:spacing w:after="0" w:line="230" w:lineRule="auto"/>
        <w:tabs>
          <w:tab w:leader="none" w:pos="1903"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xml:space="preserve">. The Executive agrees and covenants not to directly or indirectly through another 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Executive may have as an employee of the Company with respect to the bona fide hiring and firing of Company personnel. This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shall apply during Executive’s employment with the Company and for 12 months after the termination of Executive’s employment for any reason</w:t>
      </w:r>
    </w:p>
    <w:p>
      <w:pPr>
        <w:spacing w:after="0" w:line="153" w:lineRule="exact"/>
        <w:rPr>
          <w:rFonts w:ascii="Arial" w:cs="Arial" w:eastAsia="Arial" w:hAnsi="Arial"/>
          <w:sz w:val="20"/>
          <w:szCs w:val="20"/>
          <w:color w:val="auto"/>
        </w:rPr>
      </w:pPr>
    </w:p>
    <w:p>
      <w:pPr>
        <w:jc w:val="both"/>
        <w:ind w:firstLine="1278"/>
        <w:spacing w:after="0" w:line="220" w:lineRule="auto"/>
        <w:tabs>
          <w:tab w:leader="none" w:pos="190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Non-solicitation of Current and/or Prospective Customers</w:t>
      </w:r>
      <w:r>
        <w:rPr>
          <w:rFonts w:ascii="Arial" w:cs="Arial" w:eastAsia="Arial" w:hAnsi="Arial"/>
          <w:sz w:val="21"/>
          <w:szCs w:val="21"/>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5" w:lineRule="exact"/>
        <w:rPr>
          <w:rFonts w:ascii="Arial" w:cs="Arial" w:eastAsia="Arial" w:hAnsi="Arial"/>
          <w:sz w:val="21"/>
          <w:szCs w:val="21"/>
          <w:color w:val="auto"/>
        </w:rPr>
      </w:pPr>
    </w:p>
    <w:p>
      <w:pPr>
        <w:jc w:val="both"/>
        <w:ind w:firstLine="1278"/>
        <w:spacing w:after="0" w:line="252" w:lineRule="auto"/>
        <w:tabs>
          <w:tab w:leader="none" w:pos="190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xml:space="preserve">. If, at the time of enforcement of this </w:t>
      </w:r>
      <w:r>
        <w:rPr>
          <w:rFonts w:ascii="Arial" w:cs="Arial" w:eastAsia="Arial" w:hAnsi="Arial"/>
          <w:sz w:val="19"/>
          <w:szCs w:val="19"/>
          <w:u w:val="single" w:color="auto"/>
          <w:color w:val="auto"/>
        </w:rPr>
        <w:t>Section 6</w:t>
      </w:r>
      <w:r>
        <w:rPr>
          <w:rFonts w:ascii="Arial" w:cs="Arial" w:eastAsia="Arial" w:hAnsi="Arial"/>
          <w:sz w:val="19"/>
          <w:szCs w:val="19"/>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42" w:lineRule="exact"/>
        <w:rPr>
          <w:rFonts w:ascii="Arial" w:cs="Arial" w:eastAsia="Arial" w:hAnsi="Arial"/>
          <w:sz w:val="19"/>
          <w:szCs w:val="19"/>
          <w:color w:val="auto"/>
        </w:rPr>
      </w:pPr>
    </w:p>
    <w:p>
      <w:pPr>
        <w:jc w:val="both"/>
        <w:ind w:firstLine="1278"/>
        <w:spacing w:after="0" w:line="222" w:lineRule="auto"/>
        <w:tabs>
          <w:tab w:leader="none" w:pos="190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Executive’s Acknowledgements</w:t>
      </w:r>
      <w:r>
        <w:rPr>
          <w:rFonts w:ascii="Arial" w:cs="Arial" w:eastAsia="Arial" w:hAnsi="Arial"/>
          <w:sz w:val="21"/>
          <w:szCs w:val="21"/>
          <w:color w:val="auto"/>
        </w:rPr>
        <w:t>. Executive acknowledges that Executive has carefully read this Agreement and has given careful consideration to the restraints imposed 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377" w:right="339" w:bottom="1440" w:gutter="0" w:footer="0" w:header="0"/>
        </w:sectPr>
      </w:pPr>
    </w:p>
    <w:bookmarkStart w:id="62" w:name="page63"/>
    <w:bookmarkEnd w:id="62"/>
    <w:p>
      <w:pPr>
        <w:jc w:val="both"/>
        <w:spacing w:after="0" w:line="222" w:lineRule="auto"/>
        <w:rPr>
          <w:sz w:val="20"/>
          <w:szCs w:val="20"/>
          <w:color w:val="auto"/>
        </w:rPr>
      </w:pPr>
      <w:r>
        <w:rPr>
          <w:rFonts w:ascii="Arial" w:cs="Arial" w:eastAsia="Arial" w:hAnsi="Arial"/>
          <w:sz w:val="21"/>
          <w:szCs w:val="21"/>
          <w:color w:val="auto"/>
        </w:rPr>
        <w:t xml:space="preserve">agrees that each and every restraint imposed by this Agreement is reasonable with respect to subject matter, time period, and geographical area. Executive further acknowledges that although Executive’s compliance with the covenants contained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5, 6 or 7</w:t>
      </w:r>
      <w:r>
        <w:rPr>
          <w:rFonts w:ascii="Arial" w:cs="Arial" w:eastAsia="Arial" w:hAnsi="Arial"/>
          <w:sz w:val="21"/>
          <w:szCs w:val="21"/>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49" w:lineRule="exact"/>
        <w:rPr>
          <w:sz w:val="20"/>
          <w:szCs w:val="20"/>
          <w:color w:val="auto"/>
        </w:rPr>
      </w:pPr>
    </w:p>
    <w:p>
      <w:pPr>
        <w:jc w:val="both"/>
        <w:ind w:firstLine="1278"/>
        <w:spacing w:after="0" w:line="217" w:lineRule="auto"/>
        <w:tabs>
          <w:tab w:leader="none" w:pos="1908"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Because Executive’s services are unique and because Executive has access to Proprietary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and Work Product, the parties agree that the Company and its Subsidiaries and Affiliates will suffer irreparable harm from a breach or threatened breach of </w:t>
      </w:r>
      <w:r>
        <w:rPr>
          <w:rFonts w:ascii="Arial" w:cs="Arial" w:eastAsia="Arial" w:hAnsi="Arial"/>
          <w:sz w:val="21"/>
          <w:szCs w:val="21"/>
          <w:u w:val="single" w:color="auto"/>
          <w:color w:val="auto"/>
        </w:rPr>
        <w:t>Sections 4, 5, 6, 8, 20 or 21</w:t>
      </w:r>
      <w:r>
        <w:rPr>
          <w:rFonts w:ascii="Arial" w:cs="Arial" w:eastAsia="Arial" w:hAnsi="Arial"/>
          <w:sz w:val="21"/>
          <w:szCs w:val="21"/>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Arial" w:cs="Arial" w:eastAsia="Arial" w:hAnsi="Arial"/>
          <w:sz w:val="21"/>
          <w:szCs w:val="21"/>
          <w:u w:val="single" w:color="auto"/>
          <w:color w:val="auto"/>
        </w:rPr>
        <w:t>Section 6</w:t>
      </w:r>
      <w:r>
        <w:rPr>
          <w:rFonts w:ascii="Arial" w:cs="Arial" w:eastAsia="Arial" w:hAnsi="Arial"/>
          <w:sz w:val="21"/>
          <w:szCs w:val="21"/>
          <w:color w:val="auto"/>
        </w:rPr>
        <w:t>, the Non-Compete Period and the Non-Solicit Period shall be extended automatically by the amount of time between the initial occurrence of the breach or violation and when such breach or violation has been duly cured.</w:t>
      </w:r>
    </w:p>
    <w:p>
      <w:pPr>
        <w:spacing w:after="0" w:line="148" w:lineRule="exact"/>
        <w:rPr>
          <w:rFonts w:ascii="Arial" w:cs="Arial" w:eastAsia="Arial" w:hAnsi="Arial"/>
          <w:sz w:val="21"/>
          <w:szCs w:val="21"/>
          <w:b w:val="1"/>
          <w:bCs w:val="1"/>
          <w:color w:val="auto"/>
        </w:rPr>
      </w:pPr>
    </w:p>
    <w:p>
      <w:pPr>
        <w:jc w:val="both"/>
        <w:ind w:firstLine="1278"/>
        <w:spacing w:after="0" w:line="239" w:lineRule="auto"/>
        <w:tabs>
          <w:tab w:leader="none" w:pos="1908"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Executive’s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hereby represents and warrants to the Company that (a)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delivery, 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 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150" w:lineRule="exact"/>
        <w:rPr>
          <w:rFonts w:ascii="Arial" w:cs="Arial" w:eastAsia="Arial" w:hAnsi="Arial"/>
          <w:sz w:val="19"/>
          <w:szCs w:val="19"/>
          <w:b w:val="1"/>
          <w:bCs w:val="1"/>
          <w:color w:val="auto"/>
        </w:rPr>
      </w:pPr>
    </w:p>
    <w:p>
      <w:pPr>
        <w:ind w:firstLine="1278"/>
        <w:spacing w:after="0" w:line="245" w:lineRule="auto"/>
        <w:tabs>
          <w:tab w:leader="none" w:pos="1908"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5 through 22</w:t>
      </w:r>
      <w:r>
        <w:rPr>
          <w:rFonts w:ascii="Arial" w:cs="Arial" w:eastAsia="Arial" w:hAnsi="Arial"/>
          <w:sz w:val="21"/>
          <w:szCs w:val="21"/>
          <w:b w:val="1"/>
          <w:bCs w:val="1"/>
          <w:color w:val="auto"/>
        </w:rPr>
        <w:t xml:space="preserve"> </w:t>
      </w:r>
      <w:r>
        <w:rPr>
          <w:rFonts w:ascii="Arial" w:cs="Arial" w:eastAsia="Arial" w:hAnsi="Arial"/>
          <w:sz w:val="21"/>
          <w:szCs w:val="21"/>
          <w:color w:val="auto"/>
        </w:rPr>
        <w:t>shall survive and continue in full force in accordance with their terms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termination of the Employment Period and this Agreement.</w:t>
      </w:r>
    </w:p>
    <w:p>
      <w:pPr>
        <w:spacing w:after="0" w:line="142" w:lineRule="exact"/>
        <w:rPr>
          <w:rFonts w:ascii="Arial" w:cs="Arial" w:eastAsia="Arial" w:hAnsi="Arial"/>
          <w:sz w:val="21"/>
          <w:szCs w:val="21"/>
          <w:b w:val="1"/>
          <w:bCs w:val="1"/>
          <w:color w:val="auto"/>
        </w:rPr>
      </w:pPr>
    </w:p>
    <w:p>
      <w:pPr>
        <w:jc w:val="both"/>
        <w:ind w:right="20" w:firstLine="1278"/>
        <w:spacing w:after="0" w:line="232" w:lineRule="auto"/>
        <w:tabs>
          <w:tab w:leader="none" w:pos="1908"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provided for in this Agreement shall be in writing and shall be either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sent by reputable overnight courier service, or mailed by first class mail, return receipt requested, to the recipient at the address below indicated:</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1"/>
          <w:szCs w:val="21"/>
          <w:u w:val="single" w:color="auto"/>
          <w:color w:val="auto"/>
        </w:rPr>
        <w:t>Notices to Executive</w:t>
      </w:r>
      <w:r>
        <w:rPr>
          <w:rFonts w:ascii="Arial" w:cs="Arial" w:eastAsia="Arial" w:hAnsi="Arial"/>
          <w:sz w:val="21"/>
          <w:szCs w:val="21"/>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Matt Bonakdarpour</w:t>
      </w:r>
    </w:p>
    <w:p>
      <w:pPr>
        <w:ind w:left="1920"/>
        <w:spacing w:after="0" w:line="210" w:lineRule="auto"/>
        <w:rPr>
          <w:sz w:val="20"/>
          <w:szCs w:val="20"/>
          <w:color w:val="auto"/>
        </w:rPr>
      </w:pPr>
      <w:r>
        <w:rPr>
          <w:rFonts w:ascii="Arial" w:cs="Arial" w:eastAsia="Arial" w:hAnsi="Arial"/>
          <w:sz w:val="21"/>
          <w:szCs w:val="21"/>
          <w:color w:val="auto"/>
        </w:rPr>
        <w:t>[Address on file with</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Company]</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21"/>
          <w:szCs w:val="21"/>
          <w:u w:val="single" w:color="auto"/>
          <w:color w:val="auto"/>
        </w:rPr>
        <w:t>Notices to the Company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240"/>
          </w:cols>
          <w:pgMar w:left="320" w:top="1377" w:right="339" w:bottom="1440" w:gutter="0" w:footer="0" w:header="0"/>
        </w:sectPr>
      </w:pPr>
    </w:p>
    <w:bookmarkStart w:id="63" w:name="page64"/>
    <w:bookmarkEnd w:id="63"/>
    <w:p>
      <w:pPr>
        <w:ind w:left="1920"/>
        <w:spacing w:after="0"/>
        <w:rPr>
          <w:sz w:val="20"/>
          <w:szCs w:val="20"/>
          <w:color w:val="auto"/>
        </w:rPr>
      </w:pPr>
      <w:r>
        <w:rPr>
          <w:rFonts w:ascii="Arial" w:cs="Arial" w:eastAsia="Arial" w:hAnsi="Arial"/>
          <w:sz w:val="21"/>
          <w:szCs w:val="21"/>
          <w:color w:val="auto"/>
        </w:rPr>
        <w:t>Root, Inc.</w:t>
      </w:r>
    </w:p>
    <w:p>
      <w:pPr>
        <w:ind w:left="1920"/>
        <w:spacing w:after="0" w:line="210" w:lineRule="auto"/>
        <w:rPr>
          <w:sz w:val="20"/>
          <w:szCs w:val="20"/>
          <w:color w:val="auto"/>
        </w:rPr>
      </w:pPr>
      <w:r>
        <w:rPr>
          <w:rFonts w:ascii="Arial" w:cs="Arial" w:eastAsia="Arial" w:hAnsi="Arial"/>
          <w:sz w:val="21"/>
          <w:szCs w:val="21"/>
          <w:color w:val="auto"/>
        </w:rPr>
        <w:t>80 E Rich St Suite 500</w:t>
      </w:r>
    </w:p>
    <w:p>
      <w:pPr>
        <w:ind w:left="1920"/>
        <w:spacing w:after="0" w:line="211" w:lineRule="auto"/>
        <w:rPr>
          <w:sz w:val="20"/>
          <w:szCs w:val="20"/>
          <w:color w:val="auto"/>
        </w:rPr>
      </w:pPr>
      <w:r>
        <w:rPr>
          <w:rFonts w:ascii="Arial" w:cs="Arial" w:eastAsia="Arial" w:hAnsi="Arial"/>
          <w:sz w:val="21"/>
          <w:szCs w:val="21"/>
          <w:color w:val="auto"/>
        </w:rPr>
        <w:t>Columbus, Ohio 43215</w:t>
      </w:r>
    </w:p>
    <w:p>
      <w:pPr>
        <w:ind w:left="1920"/>
        <w:spacing w:after="0" w:line="211" w:lineRule="auto"/>
        <w:rPr>
          <w:sz w:val="20"/>
          <w:szCs w:val="20"/>
          <w:color w:val="auto"/>
        </w:rPr>
      </w:pPr>
      <w:r>
        <w:rPr>
          <w:rFonts w:ascii="Arial" w:cs="Arial" w:eastAsia="Arial" w:hAnsi="Arial"/>
          <w:sz w:val="21"/>
          <w:szCs w:val="21"/>
          <w:color w:val="auto"/>
        </w:rPr>
        <w:t>Attention: Jon Allison, General Counsel (or equivalent)</w:t>
      </w:r>
    </w:p>
    <w:p>
      <w:pPr>
        <w:ind w:left="1920"/>
        <w:spacing w:after="0"/>
        <w:rPr>
          <w:sz w:val="20"/>
          <w:szCs w:val="20"/>
          <w:color w:val="auto"/>
        </w:rPr>
      </w:pPr>
      <w:r>
        <w:rPr>
          <w:rFonts w:ascii="Arial" w:cs="Arial" w:eastAsia="Arial" w:hAnsi="Arial"/>
          <w:sz w:val="21"/>
          <w:szCs w:val="21"/>
          <w:color w:val="auto"/>
        </w:rPr>
        <w:t>Email: legal@joinroot.com</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126" w:lineRule="exact"/>
        <w:rPr>
          <w:sz w:val="20"/>
          <w:szCs w:val="20"/>
          <w:color w:val="auto"/>
        </w:rPr>
      </w:pPr>
    </w:p>
    <w:p>
      <w:pPr>
        <w:jc w:val="both"/>
        <w:ind w:firstLine="1278"/>
        <w:spacing w:after="0" w:line="248" w:lineRule="auto"/>
        <w:tabs>
          <w:tab w:leader="none" w:pos="1896"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possible, each provision of this Agreement shall be interpreted in such manner as to</w:t>
      </w:r>
      <w:r>
        <w:rPr>
          <w:rFonts w:ascii="Arial" w:cs="Arial" w:eastAsia="Arial" w:hAnsi="Arial"/>
          <w:sz w:val="19"/>
          <w:szCs w:val="19"/>
          <w:b w:val="1"/>
          <w:bCs w:val="1"/>
          <w:color w:val="auto"/>
        </w:rPr>
        <w:t xml:space="preserve"> </w:t>
      </w:r>
      <w:r>
        <w:rPr>
          <w:rFonts w:ascii="Arial" w:cs="Arial" w:eastAsia="Arial" w:hAnsi="Arial"/>
          <w:sz w:val="19"/>
          <w:szCs w:val="19"/>
          <w:color w:val="auto"/>
        </w:rPr>
        <w:t>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43" w:lineRule="exact"/>
        <w:rPr>
          <w:rFonts w:ascii="Arial" w:cs="Arial" w:eastAsia="Arial" w:hAnsi="Arial"/>
          <w:sz w:val="19"/>
          <w:szCs w:val="19"/>
          <w:b w:val="1"/>
          <w:bCs w:val="1"/>
          <w:color w:val="auto"/>
        </w:rPr>
      </w:pPr>
    </w:p>
    <w:p>
      <w:pPr>
        <w:jc w:val="both"/>
        <w:ind w:firstLine="1278"/>
        <w:spacing w:after="0" w:line="243" w:lineRule="auto"/>
        <w:tabs>
          <w:tab w:leader="none" w:pos="1908"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Proprietary Information and Invention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Executive, sets forth the entire agreement and understanding between the Company and Executive relating to the subject matter of this 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47" w:lineRule="exact"/>
        <w:rPr>
          <w:rFonts w:ascii="Arial" w:cs="Arial" w:eastAsia="Arial" w:hAnsi="Arial"/>
          <w:sz w:val="19"/>
          <w:szCs w:val="19"/>
          <w:b w:val="1"/>
          <w:bCs w:val="1"/>
          <w:color w:val="auto"/>
        </w:rPr>
      </w:pPr>
    </w:p>
    <w:p>
      <w:pPr>
        <w:ind w:firstLine="1278"/>
        <w:spacing w:after="0" w:line="270" w:lineRule="auto"/>
        <w:tabs>
          <w:tab w:leader="none" w:pos="1908"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Strict 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language used in this Agreement shall be deemed to be the language chosen by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to express their mutual intent, and no rule of strict construction shall be applied against any party.</w:t>
      </w:r>
    </w:p>
    <w:p>
      <w:pPr>
        <w:spacing w:after="0" w:line="118" w:lineRule="exact"/>
        <w:rPr>
          <w:rFonts w:ascii="Arial" w:cs="Arial" w:eastAsia="Arial" w:hAnsi="Arial"/>
          <w:sz w:val="20"/>
          <w:szCs w:val="20"/>
          <w:b w:val="1"/>
          <w:bCs w:val="1"/>
          <w:color w:val="auto"/>
        </w:rPr>
      </w:pPr>
    </w:p>
    <w:p>
      <w:pPr>
        <w:ind w:firstLine="1278"/>
        <w:spacing w:after="0" w:line="297" w:lineRule="auto"/>
        <w:tabs>
          <w:tab w:leader="none" w:pos="1908"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separate counterparts (including by means of pdf</w:t>
      </w:r>
      <w:r>
        <w:rPr>
          <w:rFonts w:ascii="Arial" w:cs="Arial" w:eastAsia="Arial" w:hAnsi="Arial"/>
          <w:sz w:val="19"/>
          <w:szCs w:val="19"/>
          <w:b w:val="1"/>
          <w:bCs w:val="1"/>
          <w:color w:val="auto"/>
        </w:rPr>
        <w:t xml:space="preserve"> </w:t>
      </w:r>
      <w:r>
        <w:rPr>
          <w:rFonts w:ascii="Arial" w:cs="Arial" w:eastAsia="Arial" w:hAnsi="Arial"/>
          <w:sz w:val="19"/>
          <w:szCs w:val="19"/>
          <w:color w:val="auto"/>
        </w:rPr>
        <w:t>signature page), each of which is deemed to be an original, and all of which taken together constitute one and the same agreement.</w:t>
      </w:r>
    </w:p>
    <w:p>
      <w:pPr>
        <w:spacing w:after="0" w:line="95" w:lineRule="exact"/>
        <w:rPr>
          <w:rFonts w:ascii="Arial" w:cs="Arial" w:eastAsia="Arial" w:hAnsi="Arial"/>
          <w:sz w:val="19"/>
          <w:szCs w:val="19"/>
          <w:b w:val="1"/>
          <w:bCs w:val="1"/>
          <w:color w:val="auto"/>
        </w:rPr>
      </w:pPr>
    </w:p>
    <w:p>
      <w:pPr>
        <w:jc w:val="both"/>
        <w:ind w:firstLine="1278"/>
        <w:spacing w:after="0"/>
        <w:tabs>
          <w:tab w:leader="none" w:pos="1908"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the covenants in paragraph 4 above, will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 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153" w:lineRule="exact"/>
        <w:rPr>
          <w:rFonts w:ascii="Arial" w:cs="Arial" w:eastAsia="Arial" w:hAnsi="Arial"/>
          <w:sz w:val="19"/>
          <w:szCs w:val="19"/>
          <w:b w:val="1"/>
          <w:bCs w:val="1"/>
          <w:color w:val="auto"/>
        </w:rPr>
      </w:pPr>
    </w:p>
    <w:p>
      <w:pPr>
        <w:jc w:val="both"/>
        <w:ind w:firstLine="1278"/>
        <w:spacing w:after="0" w:line="245" w:lineRule="auto"/>
        <w:tabs>
          <w:tab w:leader="none" w:pos="1908"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 and Choice of Forum</w:t>
      </w:r>
      <w:r>
        <w:rPr>
          <w:rFonts w:ascii="Arial" w:cs="Arial" w:eastAsia="Arial" w:hAnsi="Arial"/>
          <w:sz w:val="20"/>
          <w:szCs w:val="20"/>
          <w:b w:val="1"/>
          <w:bCs w:val="1"/>
          <w:color w:val="auto"/>
        </w:rPr>
        <w:t xml:space="preserve">. </w:t>
      </w:r>
      <w:r>
        <w:rPr>
          <w:rFonts w:ascii="Arial" w:cs="Arial" w:eastAsia="Arial" w:hAnsi="Arial"/>
          <w:sz w:val="20"/>
          <w:szCs w:val="20"/>
          <w:color w:val="auto"/>
        </w:rPr>
        <w:t>All issues and questions concerning the construction, 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enforcement, and interpretation of this Agreement and the exhibits and schedules hereto shall be governed by, and construed in accordance with, the laws of the State of Ohio, without giving effect to any choice of law or conflict of law rules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65" w:right="339" w:bottom="1440" w:gutter="0" w:footer="0" w:header="0"/>
        </w:sectPr>
      </w:pPr>
    </w:p>
    <w:bookmarkStart w:id="64" w:name="page65"/>
    <w:bookmarkEnd w:id="64"/>
    <w:p>
      <w:pPr>
        <w:jc w:val="both"/>
        <w:spacing w:after="0" w:line="236" w:lineRule="auto"/>
        <w:rPr>
          <w:sz w:val="20"/>
          <w:szCs w:val="20"/>
          <w:color w:val="auto"/>
        </w:rPr>
      </w:pPr>
      <w:r>
        <w:rPr>
          <w:rFonts w:ascii="Arial" w:cs="Arial" w:eastAsia="Arial" w:hAnsi="Arial"/>
          <w:sz w:val="20"/>
          <w:szCs w:val="20"/>
          <w:color w:val="auto"/>
        </w:rPr>
        <w:t>provisions (whether of the State of Ohio or any other jurisdiction) that would cause the application of the laws of any jurisdiction other than the State of Ohio. Jurisdiction and venue of 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149" w:lineRule="exact"/>
        <w:rPr>
          <w:sz w:val="20"/>
          <w:szCs w:val="20"/>
          <w:color w:val="auto"/>
        </w:rPr>
      </w:pPr>
    </w:p>
    <w:p>
      <w:pPr>
        <w:jc w:val="both"/>
        <w:ind w:firstLine="1278"/>
        <w:spacing w:after="0" w:line="234" w:lineRule="auto"/>
        <w:tabs>
          <w:tab w:leader="none" w:pos="1908"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and Waiver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Agreement may be amended or waived only with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pacing w:after="0" w:line="150" w:lineRule="exact"/>
        <w:rPr>
          <w:rFonts w:ascii="Arial" w:cs="Arial" w:eastAsia="Arial" w:hAnsi="Arial"/>
          <w:sz w:val="20"/>
          <w:szCs w:val="20"/>
          <w:b w:val="1"/>
          <w:bCs w:val="1"/>
          <w:color w:val="auto"/>
        </w:rPr>
      </w:pPr>
    </w:p>
    <w:p>
      <w:pPr>
        <w:ind w:left="1920" w:hanging="642"/>
        <w:spacing w:after="0"/>
        <w:tabs>
          <w:tab w:leader="none" w:pos="1920"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Matters; Code Section 409A</w:t>
      </w:r>
      <w:r>
        <w:rPr>
          <w:rFonts w:ascii="Arial" w:cs="Arial" w:eastAsia="Arial" w:hAnsi="Arial"/>
          <w:sz w:val="21"/>
          <w:szCs w:val="21"/>
          <w:color w:val="auto"/>
        </w:rPr>
        <w:t>.</w:t>
      </w:r>
    </w:p>
    <w:p>
      <w:pPr>
        <w:spacing w:after="0" w:line="189" w:lineRule="exact"/>
        <w:rPr>
          <w:sz w:val="20"/>
          <w:szCs w:val="20"/>
          <w:color w:val="auto"/>
        </w:rPr>
      </w:pPr>
    </w:p>
    <w:p>
      <w:pPr>
        <w:jc w:val="both"/>
        <w:ind w:firstLine="1278"/>
        <w:spacing w:after="0" w:line="218" w:lineRule="auto"/>
        <w:tabs>
          <w:tab w:leader="none" w:pos="1905"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153" w:lineRule="exact"/>
        <w:rPr>
          <w:rFonts w:ascii="Arial" w:cs="Arial" w:eastAsia="Arial" w:hAnsi="Arial"/>
          <w:sz w:val="21"/>
          <w:szCs w:val="21"/>
          <w:color w:val="auto"/>
        </w:rPr>
      </w:pPr>
    </w:p>
    <w:p>
      <w:pPr>
        <w:jc w:val="both"/>
        <w:ind w:firstLine="1278"/>
        <w:spacing w:after="0" w:line="222" w:lineRule="auto"/>
        <w:tabs>
          <w:tab w:leader="none" w:pos="1908"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155" w:lineRule="exact"/>
        <w:rPr>
          <w:rFonts w:ascii="Arial" w:cs="Arial" w:eastAsia="Arial" w:hAnsi="Arial"/>
          <w:sz w:val="21"/>
          <w:szCs w:val="21"/>
          <w:color w:val="auto"/>
        </w:rPr>
      </w:pPr>
    </w:p>
    <w:p>
      <w:pPr>
        <w:jc w:val="both"/>
        <w:ind w:firstLine="1278"/>
        <w:spacing w:after="0" w:line="235" w:lineRule="auto"/>
        <w:tabs>
          <w:tab w:leader="none" w:pos="1903"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w:t>
      </w:r>
    </w:p>
    <w:p>
      <w:pPr>
        <w:spacing w:after="0" w:line="2" w:lineRule="exact"/>
        <w:rPr>
          <w:rFonts w:ascii="Arial" w:cs="Arial" w:eastAsia="Arial" w:hAnsi="Arial"/>
          <w:sz w:val="19"/>
          <w:szCs w:val="19"/>
          <w:color w:val="auto"/>
        </w:rPr>
      </w:pPr>
    </w:p>
    <w:p>
      <w:pPr>
        <w:jc w:val="both"/>
        <w:ind w:firstLine="6"/>
        <w:spacing w:after="0" w:line="217" w:lineRule="auto"/>
        <w:tabs>
          <w:tab w:leader="none" w:pos="358"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the expiration of the six (6)-month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Arial" w:cs="Arial" w:eastAsia="Arial" w:hAnsi="Arial"/>
          <w:sz w:val="21"/>
          <w:szCs w:val="21"/>
          <w:u w:val="single" w:color="auto"/>
          <w:color w:val="auto"/>
        </w:rPr>
        <w:t>Section 19(c</w:t>
      </w:r>
      <w:r>
        <w:rPr>
          <w:rFonts w:ascii="Arial" w:cs="Arial" w:eastAsia="Arial" w:hAnsi="Arial"/>
          <w:sz w:val="21"/>
          <w:szCs w:val="21"/>
          <w:color w:val="auto"/>
        </w:rPr>
        <w:t>) (whether they would have otherwise been payable in a single sum or in installments in the absence of such delay) shall be paid or reimbursed to Executive in a lump sum, without interest, and any remaining payments and benefits due under this Agreement shall be paid or provided in accordance with the normal payment dates specified for them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377" w:right="339" w:bottom="1440" w:gutter="0" w:footer="0" w:header="0"/>
        </w:sectPr>
      </w:pPr>
    </w:p>
    <w:bookmarkStart w:id="65" w:name="page66"/>
    <w:bookmarkEnd w:id="65"/>
    <w:p>
      <w:pPr>
        <w:jc w:val="both"/>
        <w:ind w:firstLine="1278"/>
        <w:spacing w:after="0" w:line="231" w:lineRule="auto"/>
        <w:tabs>
          <w:tab w:leader="none" w:pos="1903"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the extent that reimbursements or other in-kind benefits under this Agreement constitute “nonqualified deferred compensation” for purposes of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5" w:lineRule="exact"/>
        <w:rPr>
          <w:rFonts w:ascii="Arial" w:cs="Arial" w:eastAsia="Arial" w:hAnsi="Arial"/>
          <w:sz w:val="20"/>
          <w:szCs w:val="20"/>
          <w:color w:val="auto"/>
        </w:rPr>
      </w:pPr>
    </w:p>
    <w:p>
      <w:pPr>
        <w:jc w:val="both"/>
        <w:ind w:firstLine="1278"/>
        <w:spacing w:after="0" w:line="225" w:lineRule="auto"/>
        <w:tabs>
          <w:tab w:leader="none" w:pos="1896" w:val="left"/>
        </w:tabs>
        <w:numPr>
          <w:ilvl w:val="0"/>
          <w:numId w:val="56"/>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154" w:lineRule="exact"/>
        <w:rPr>
          <w:rFonts w:ascii="Arial" w:cs="Arial" w:eastAsia="Arial" w:hAnsi="Arial"/>
          <w:sz w:val="21"/>
          <w:szCs w:val="21"/>
          <w:color w:val="auto"/>
        </w:rPr>
      </w:pPr>
    </w:p>
    <w:p>
      <w:pPr>
        <w:jc w:val="both"/>
        <w:ind w:firstLine="1278"/>
        <w:spacing w:after="0" w:line="230" w:lineRule="auto"/>
        <w:tabs>
          <w:tab w:leader="none" w:pos="1896" w:val="left"/>
        </w:tabs>
        <w:numPr>
          <w:ilvl w:val="0"/>
          <w:numId w:val="56"/>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48" w:lineRule="exact"/>
        <w:rPr>
          <w:sz w:val="20"/>
          <w:szCs w:val="20"/>
          <w:color w:val="auto"/>
        </w:rPr>
      </w:pPr>
    </w:p>
    <w:p>
      <w:pPr>
        <w:jc w:val="both"/>
        <w:ind w:firstLine="1278"/>
        <w:spacing w:after="0" w:line="223" w:lineRule="auto"/>
        <w:tabs>
          <w:tab w:leader="none" w:pos="1908"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AS A SPECIFICALLY BARGAINED FOR INDUCEMENT FOR EACH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50" w:lineRule="exact"/>
        <w:rPr>
          <w:rFonts w:ascii="Arial" w:cs="Arial" w:eastAsia="Arial" w:hAnsi="Arial"/>
          <w:sz w:val="21"/>
          <w:szCs w:val="21"/>
          <w:b w:val="1"/>
          <w:bCs w:val="1"/>
          <w:color w:val="auto"/>
        </w:rPr>
      </w:pPr>
    </w:p>
    <w:p>
      <w:pPr>
        <w:jc w:val="both"/>
        <w:ind w:firstLine="1278"/>
        <w:spacing w:after="0" w:line="221" w:lineRule="auto"/>
        <w:tabs>
          <w:tab w:leader="none" w:pos="1908"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Corporate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submit to the Company all material business, commercial,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opportunities or offers presented to Executive, or of which Executive becomes aware, at any time during the Employment Period or any period of at-will employment, which opportunities relate to the Company’s business (“</w:t>
      </w:r>
      <w:r>
        <w:rPr>
          <w:rFonts w:ascii="Arial" w:cs="Arial" w:eastAsia="Arial" w:hAnsi="Arial"/>
          <w:sz w:val="21"/>
          <w:szCs w:val="21"/>
          <w:b w:val="1"/>
          <w:bCs w:val="1"/>
          <w:color w:val="auto"/>
        </w:rPr>
        <w:t>Corporate</w:t>
      </w:r>
      <w:r>
        <w:rPr>
          <w:rFonts w:ascii="Arial" w:cs="Arial" w:eastAsia="Arial" w:hAnsi="Arial"/>
          <w:sz w:val="21"/>
          <w:szCs w:val="21"/>
          <w:color w:val="auto"/>
        </w:rPr>
        <w:t xml:space="preserve"> </w:t>
      </w:r>
      <w:r>
        <w:rPr>
          <w:rFonts w:ascii="Arial" w:cs="Arial" w:eastAsia="Arial" w:hAnsi="Arial"/>
          <w:sz w:val="21"/>
          <w:szCs w:val="21"/>
          <w:b w:val="1"/>
          <w:bCs w:val="1"/>
          <w:color w:val="auto"/>
        </w:rPr>
        <w:t>Opportunities</w:t>
      </w:r>
      <w:r>
        <w:rPr>
          <w:rFonts w:ascii="Arial" w:cs="Arial" w:eastAsia="Arial" w:hAnsi="Arial"/>
          <w:sz w:val="21"/>
          <w:szCs w:val="21"/>
          <w:color w:val="auto"/>
        </w:rPr>
        <w:t>”). Unless approved by the Board, during the Employment Period or any period of at-will employment,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accept or pursue, directly or indirectly, any Corporate Opportunities on Executive’s own behalf or for Executive’s personal benefit or for the benefit of any Person other than the Company.</w:t>
      </w:r>
    </w:p>
    <w:p>
      <w:pPr>
        <w:spacing w:after="0" w:line="149" w:lineRule="exact"/>
        <w:rPr>
          <w:rFonts w:ascii="Arial" w:cs="Arial" w:eastAsia="Arial" w:hAnsi="Arial"/>
          <w:sz w:val="21"/>
          <w:szCs w:val="21"/>
          <w:b w:val="1"/>
          <w:bCs w:val="1"/>
          <w:color w:val="auto"/>
        </w:rPr>
      </w:pPr>
    </w:p>
    <w:p>
      <w:pPr>
        <w:jc w:val="both"/>
        <w:ind w:firstLine="1278"/>
        <w:spacing w:after="0" w:line="239" w:lineRule="auto"/>
        <w:tabs>
          <w:tab w:leader="none" w:pos="1908"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Executive’s 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and thereafter, Executive shall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cooperate with the Company and its Subsidiaries and Affiliates in any 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 relevant documents which are or may come into Executive’s possession, all at times and on schedules that are reasonably consistent with Executive’s other permitted activities and commitments). In the event the Company or any Subsidiary or Affiliate requires Executive’s cooperation in accordance with this section, the Company shall pay Executive a per diem reasonably determined by the Board and reimburse Executive for reasonable expenses incurred in connection therewith (including reasonable transportation, lodging and meals, upon submission of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377" w:right="339" w:bottom="1440" w:gutter="0" w:footer="0" w:header="0"/>
        </w:sectPr>
      </w:pPr>
    </w:p>
    <w:bookmarkStart w:id="66" w:name="page67"/>
    <w:bookmarkEnd w:id="66"/>
    <w:p>
      <w:pPr>
        <w:jc w:val="both"/>
        <w:ind w:firstLine="1278"/>
        <w:spacing w:after="0" w:line="232" w:lineRule="auto"/>
        <w:tabs>
          <w:tab w:leader="none" w:pos="1908"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he is entering into this Agreement of Executive’s own</w:t>
      </w:r>
      <w:r>
        <w:rPr>
          <w:rFonts w:ascii="Arial" w:cs="Arial" w:eastAsia="Arial" w:hAnsi="Arial"/>
          <w:sz w:val="21"/>
          <w:szCs w:val="21"/>
          <w:b w:val="1"/>
          <w:bCs w:val="1"/>
          <w:color w:val="auto"/>
        </w:rPr>
        <w:t xml:space="preserve"> </w:t>
      </w:r>
      <w:r>
        <w:rPr>
          <w:rFonts w:ascii="Arial" w:cs="Arial" w:eastAsia="Arial" w:hAnsi="Arial"/>
          <w:sz w:val="21"/>
          <w:szCs w:val="21"/>
          <w:color w:val="auto"/>
        </w:rPr>
        <w:t>accord and without coercion or pressure of any kind from the other party or from any third person and that he or she has been given the opportunity to obtain independent legal advice in connection with this Agreement.</w:t>
      </w:r>
    </w:p>
    <w:p>
      <w:pPr>
        <w:spacing w:after="0" w:line="147" w:lineRule="exact"/>
        <w:rPr>
          <w:rFonts w:ascii="Arial" w:cs="Arial" w:eastAsia="Arial" w:hAnsi="Arial"/>
          <w:sz w:val="21"/>
          <w:szCs w:val="21"/>
          <w:b w:val="1"/>
          <w:bCs w:val="1"/>
          <w:color w:val="auto"/>
        </w:rPr>
      </w:pPr>
    </w:p>
    <w:p>
      <w:pPr>
        <w:ind w:left="1920" w:hanging="642"/>
        <w:spacing w:after="0"/>
        <w:tabs>
          <w:tab w:leader="none" w:pos="1920"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w:t>
      </w:r>
    </w:p>
    <w:p>
      <w:pPr>
        <w:spacing w:after="0" w:line="189" w:lineRule="exact"/>
        <w:rPr>
          <w:sz w:val="20"/>
          <w:szCs w:val="20"/>
          <w:color w:val="auto"/>
        </w:rPr>
      </w:pPr>
    </w:p>
    <w:p>
      <w:pPr>
        <w:ind w:left="1920" w:hanging="642"/>
        <w:spacing w:after="0"/>
        <w:tabs>
          <w:tab w:leader="none" w:pos="192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Agreement, the following definitions shall apply:</w:t>
      </w:r>
    </w:p>
    <w:p>
      <w:pPr>
        <w:spacing w:after="0" w:line="176" w:lineRule="exact"/>
        <w:rPr>
          <w:rFonts w:ascii="Arial" w:cs="Arial" w:eastAsia="Arial" w:hAnsi="Arial"/>
          <w:sz w:val="21"/>
          <w:szCs w:val="21"/>
          <w:color w:val="auto"/>
        </w:rPr>
      </w:pPr>
    </w:p>
    <w:p>
      <w:pPr>
        <w:jc w:val="both"/>
        <w:ind w:left="1280" w:firstLine="634"/>
        <w:spacing w:after="0" w:line="217" w:lineRule="auto"/>
        <w:tabs>
          <w:tab w:leader="none" w:pos="254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54" w:lineRule="exact"/>
        <w:rPr>
          <w:rFonts w:ascii="Arial" w:cs="Arial" w:eastAsia="Arial" w:hAnsi="Arial"/>
          <w:sz w:val="21"/>
          <w:szCs w:val="21"/>
          <w:color w:val="auto"/>
        </w:rPr>
      </w:pPr>
    </w:p>
    <w:p>
      <w:pPr>
        <w:jc w:val="both"/>
        <w:ind w:left="1280" w:firstLine="634"/>
        <w:spacing w:after="0" w:line="226" w:lineRule="auto"/>
        <w:tabs>
          <w:tab w:leader="none" w:pos="2546" w:val="left"/>
        </w:tabs>
        <w:numPr>
          <w:ilvl w:val="1"/>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shall mean, with respect to Executive, one or more of the following: (i) commission of,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 the Company or any of its Affiliates or Subsidiaries; (vi) material breach of the Company’s Code of Conduct as amended from time to time; (vii) any material breach by Executive of </w:t>
      </w:r>
      <w:r>
        <w:rPr>
          <w:rFonts w:ascii="Arial" w:cs="Arial" w:eastAsia="Arial" w:hAnsi="Arial"/>
          <w:sz w:val="20"/>
          <w:szCs w:val="20"/>
          <w:u w:val="single" w:color="auto"/>
          <w:color w:val="auto"/>
        </w:rPr>
        <w:t>Section 4, 5, 6, 8, 20 or 21</w:t>
      </w:r>
      <w:r>
        <w:rPr>
          <w:rFonts w:ascii="Arial" w:cs="Arial" w:eastAsia="Arial" w:hAnsi="Arial"/>
          <w:sz w:val="20"/>
          <w:szCs w:val="20"/>
          <w:color w:val="auto"/>
        </w:rPr>
        <w:t xml:space="preserve"> of this Agreement; or (viii) the Executive relocates from the Company’s principal office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pacing w:after="0" w:line="157" w:lineRule="exact"/>
        <w:rPr>
          <w:rFonts w:ascii="Arial" w:cs="Arial" w:eastAsia="Arial" w:hAnsi="Arial"/>
          <w:sz w:val="20"/>
          <w:szCs w:val="20"/>
          <w:color w:val="auto"/>
        </w:rPr>
      </w:pPr>
    </w:p>
    <w:p>
      <w:pPr>
        <w:jc w:val="both"/>
        <w:ind w:left="1280" w:firstLine="634"/>
        <w:spacing w:after="0" w:line="232" w:lineRule="auto"/>
        <w:tabs>
          <w:tab w:leader="none" w:pos="2552"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shall have the meaning ascribed in the Root, Inc. 2020 Equity Incentive Plan.</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avoidance of doubt, Caret Holdings, Inc. shall not be substituted for Root, Inc. in the definition of “Company” in such context.</w:t>
      </w:r>
    </w:p>
    <w:p>
      <w:pPr>
        <w:spacing w:after="0" w:line="147" w:lineRule="exact"/>
        <w:rPr>
          <w:rFonts w:ascii="Arial" w:cs="Arial" w:eastAsia="Arial" w:hAnsi="Arial"/>
          <w:sz w:val="21"/>
          <w:szCs w:val="21"/>
          <w:color w:val="auto"/>
        </w:rPr>
      </w:pPr>
    </w:p>
    <w:p>
      <w:pPr>
        <w:ind w:left="2540" w:hanging="626"/>
        <w:spacing w:after="0"/>
        <w:tabs>
          <w:tab w:leader="none" w:pos="2540"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“Code” </w:t>
      </w:r>
      <w:r>
        <w:rPr>
          <w:rFonts w:ascii="Arial" w:cs="Arial" w:eastAsia="Arial" w:hAnsi="Arial"/>
          <w:sz w:val="21"/>
          <w:szCs w:val="21"/>
          <w:color w:val="auto"/>
        </w:rPr>
        <w:t>shall mean the Internal Revenue Code of 1986, as amended.</w:t>
      </w:r>
    </w:p>
    <w:p>
      <w:pPr>
        <w:spacing w:after="0" w:line="182" w:lineRule="exact"/>
        <w:rPr>
          <w:rFonts w:ascii="Arial" w:cs="Arial" w:eastAsia="Arial" w:hAnsi="Arial"/>
          <w:sz w:val="21"/>
          <w:szCs w:val="21"/>
          <w:color w:val="auto"/>
        </w:rPr>
      </w:pPr>
    </w:p>
    <w:p>
      <w:pPr>
        <w:ind w:left="1280" w:firstLine="634"/>
        <w:spacing w:after="0" w:line="245" w:lineRule="auto"/>
        <w:tabs>
          <w:tab w:leader="none" w:pos="2547"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Disabled”</w:t>
      </w:r>
      <w:r>
        <w:rPr>
          <w:rFonts w:ascii="Arial" w:cs="Arial" w:eastAsia="Arial" w:hAnsi="Arial"/>
          <w:sz w:val="21"/>
          <w:szCs w:val="21"/>
          <w:color w:val="auto"/>
        </w:rPr>
        <w:t xml:space="preserve"> shall mean Executive’s incapacity due to physical or mental illness or Executive is considered disabled under the Company’s long-term disability insurance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71" w:right="339" w:bottom="1440" w:gutter="0" w:footer="0" w:header="0"/>
        </w:sectPr>
      </w:pPr>
    </w:p>
    <w:bookmarkStart w:id="67" w:name="page68"/>
    <w:bookmarkEnd w:id="67"/>
    <w:p>
      <w:pPr>
        <w:jc w:val="both"/>
        <w:ind w:left="160" w:firstLine="634"/>
        <w:spacing w:after="0" w:line="238" w:lineRule="auto"/>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shall mean, with respect to Executive’s resignation from employment,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following occurring: (i) a material reduction in Executive’s Base Salary or any other reduction in Executive’s Base Salary that is not otherwise uniformly applied to similarly situated employees; (ii) a material diminution in Executive’s duties, responsibilities or authority (provided that a change of Executive’s Supervisor shall not constitute a material reduction in job responsibilities, duties or authority); (iii) a material breach of this Employment Agreement by the Company; or (iv) the relocation of Executive’s principal office by more than fifty (50) miles. “Good Reason” shall only exist if the Executive provided written notice to the Company within sixty (60) days of the initial existence of the condition, describing the existence of such condition, and the Company shall thereafter have the right to remedy the condition within thirty (30) days of the date the Company received the written notice from the Executive. If the Company remedies the condition within such thirty (30) day cure period, then no Good Reason shall be deemed to exist with respect to such condition. If the Company fails to cure the alleged infraction within thirty (30) days of receiving written notice from Executive, then the Executive may deliver a notice of termination for Good Reason at any time within sixty (60) days following the expiration of such cure period.</w:t>
      </w:r>
    </w:p>
    <w:p>
      <w:pPr>
        <w:spacing w:after="0" w:line="151" w:lineRule="exact"/>
        <w:rPr>
          <w:rFonts w:ascii="Arial" w:cs="Arial" w:eastAsia="Arial" w:hAnsi="Arial"/>
          <w:sz w:val="19"/>
          <w:szCs w:val="19"/>
          <w:color w:val="auto"/>
        </w:rPr>
      </w:pPr>
    </w:p>
    <w:p>
      <w:pPr>
        <w:jc w:val="both"/>
        <w:ind w:left="160" w:firstLine="634"/>
        <w:spacing w:after="0" w:line="232" w:lineRule="auto"/>
        <w:tabs>
          <w:tab w:leader="none" w:pos="1426"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 xml:space="preserve">“Person” </w:t>
      </w:r>
      <w:r>
        <w:rPr>
          <w:rFonts w:ascii="Arial" w:cs="Arial" w:eastAsia="Arial" w:hAnsi="Arial"/>
          <w:sz w:val="21"/>
          <w:szCs w:val="21"/>
          <w:color w:val="auto"/>
        </w:rPr>
        <w:t>shall mean any natural person, corporation, partnership (whether general or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association, custodian, nominee, trust, estate, joint venture, governmental authority, or other individual or entity.</w:t>
      </w:r>
    </w:p>
    <w:p>
      <w:pPr>
        <w:spacing w:after="0" w:line="147" w:lineRule="exact"/>
        <w:rPr>
          <w:rFonts w:ascii="Arial" w:cs="Arial" w:eastAsia="Arial" w:hAnsi="Arial"/>
          <w:sz w:val="21"/>
          <w:szCs w:val="21"/>
          <w:color w:val="auto"/>
        </w:rPr>
      </w:pPr>
    </w:p>
    <w:p>
      <w:pPr>
        <w:jc w:val="both"/>
        <w:ind w:left="160" w:firstLine="634"/>
        <w:spacing w:after="0" w:line="232" w:lineRule="auto"/>
        <w:tabs>
          <w:tab w:leader="none" w:pos="1432"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 xml:space="preserve">“Prospective Customer” </w:t>
      </w:r>
      <w:r>
        <w:rPr>
          <w:rFonts w:ascii="Arial" w:cs="Arial" w:eastAsia="Arial" w:hAnsi="Arial"/>
          <w:sz w:val="21"/>
          <w:szCs w:val="21"/>
          <w:color w:val="auto"/>
        </w:rPr>
        <w:t>shall mean any prospect with whom Executive or a representative of</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which Executive was aware has engaged in discussions to do business with the Company within the last twelve (12) months of Executive’s employment.</w:t>
      </w:r>
    </w:p>
    <w:p>
      <w:pPr>
        <w:spacing w:after="0" w:line="147" w:lineRule="exact"/>
        <w:rPr>
          <w:rFonts w:ascii="Arial" w:cs="Arial" w:eastAsia="Arial" w:hAnsi="Arial"/>
          <w:sz w:val="21"/>
          <w:szCs w:val="21"/>
          <w:color w:val="auto"/>
        </w:rPr>
      </w:pPr>
    </w:p>
    <w:p>
      <w:pPr>
        <w:jc w:val="both"/>
        <w:ind w:left="160" w:firstLine="634"/>
        <w:spacing w:after="0"/>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“Restricted Activities” </w:t>
      </w:r>
      <w:r>
        <w:rPr>
          <w:rFonts w:ascii="Arial" w:cs="Arial" w:eastAsia="Arial" w:hAnsi="Arial"/>
          <w:sz w:val="19"/>
          <w:szCs w:val="19"/>
          <w:color w:val="auto"/>
        </w:rPr>
        <w:t>shall mean activity in which the Executive contributes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directly or 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pacing w:after="0" w:line="147" w:lineRule="exact"/>
        <w:rPr>
          <w:rFonts w:ascii="Arial" w:cs="Arial" w:eastAsia="Arial" w:hAnsi="Arial"/>
          <w:sz w:val="19"/>
          <w:szCs w:val="19"/>
          <w:color w:val="auto"/>
        </w:rPr>
      </w:pPr>
    </w:p>
    <w:p>
      <w:pPr>
        <w:jc w:val="both"/>
        <w:ind w:left="160" w:firstLine="634"/>
        <w:spacing w:after="0" w:line="232" w:lineRule="auto"/>
        <w:tabs>
          <w:tab w:leader="none" w:pos="1427"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 xml:space="preserve">“Restricted Territory” </w:t>
      </w:r>
      <w:r>
        <w:rPr>
          <w:rFonts w:ascii="Arial" w:cs="Arial" w:eastAsia="Arial" w:hAnsi="Arial"/>
          <w:sz w:val="21"/>
          <w:szCs w:val="21"/>
          <w:color w:val="auto"/>
        </w:rPr>
        <w:t>shall mean the United States because the type of work Executive is engaged</w:t>
      </w:r>
      <w:r>
        <w:rPr>
          <w:rFonts w:ascii="Arial" w:cs="Arial" w:eastAsia="Arial" w:hAnsi="Arial"/>
          <w:sz w:val="21"/>
          <w:szCs w:val="21"/>
          <w:b w:val="1"/>
          <w:bCs w:val="1"/>
          <w:color w:val="auto"/>
        </w:rPr>
        <w:t xml:space="preserve"> </w:t>
      </w:r>
      <w:r>
        <w:rPr>
          <w:rFonts w:ascii="Arial" w:cs="Arial" w:eastAsia="Arial" w:hAnsi="Arial"/>
          <w:sz w:val="21"/>
          <w:szCs w:val="21"/>
          <w:color w:val="auto"/>
        </w:rPr>
        <w:t>can be performed, shared, utilized, developed, bought, sold, or accessed from anywhere to anywhere, in person or remotely.</w:t>
      </w:r>
    </w:p>
    <w:p>
      <w:pPr>
        <w:spacing w:after="0" w:line="147" w:lineRule="exact"/>
        <w:rPr>
          <w:rFonts w:ascii="Arial" w:cs="Arial" w:eastAsia="Arial" w:hAnsi="Arial"/>
          <w:sz w:val="21"/>
          <w:szCs w:val="21"/>
          <w:color w:val="auto"/>
        </w:rPr>
      </w:pPr>
    </w:p>
    <w:p>
      <w:pPr>
        <w:jc w:val="both"/>
        <w:ind w:left="160" w:firstLine="634"/>
        <w:spacing w:after="0" w:line="232" w:lineRule="auto"/>
        <w:tabs>
          <w:tab w:leader="none" w:pos="142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shall mean, with respect to any Person, any corporation, partnership,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association, joint venture, or other business entity of which more than fifty percent (50%) of the total voting power of shares of stock or other ownership interests entitled (without regard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20"/>
          </w:cols>
          <w:pgMar w:left="1440" w:top="1371" w:right="339" w:bottom="1440" w:gutter="0" w:footer="0" w:header="0"/>
        </w:sectPr>
      </w:pPr>
    </w:p>
    <w:bookmarkStart w:id="68" w:name="page69"/>
    <w:bookmarkEnd w:id="68"/>
    <w:p>
      <w:pPr>
        <w:jc w:val="both"/>
        <w:ind w:left="160"/>
        <w:spacing w:after="0" w:line="247" w:lineRule="auto"/>
        <w:rPr>
          <w:sz w:val="20"/>
          <w:szCs w:val="20"/>
          <w:color w:val="auto"/>
        </w:rPr>
      </w:pPr>
      <w:r>
        <w:rPr>
          <w:rFonts w:ascii="Arial" w:cs="Arial" w:eastAsia="Arial" w:hAnsi="Arial"/>
          <w:sz w:val="19"/>
          <w:szCs w:val="19"/>
          <w:color w:val="auto"/>
        </w:rPr>
        <w:t>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9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120"/>
          </w:cols>
          <w:pgMar w:left="1440" w:top="1377" w:right="339" w:bottom="1440" w:gutter="0" w:footer="0" w:header="0"/>
        </w:sectPr>
      </w:pPr>
    </w:p>
    <w:bookmarkStart w:id="69" w:name="page70"/>
    <w:bookmarkEnd w:id="69"/>
    <w:p>
      <w:pPr>
        <w:ind w:firstLine="1272"/>
        <w:spacing w:after="0" w:line="239" w:lineRule="auto"/>
        <w:rPr>
          <w:sz w:val="20"/>
          <w:szCs w:val="20"/>
          <w:color w:val="auto"/>
        </w:rPr>
      </w:pPr>
      <w:r>
        <w:rPr>
          <w:rFonts w:ascii="Arial" w:cs="Arial" w:eastAsia="Arial" w:hAnsi="Arial"/>
          <w:sz w:val="21"/>
          <w:szCs w:val="21"/>
          <w:color w:val="auto"/>
        </w:rPr>
        <w:t>IN WITNESS WHEREOF, the parties hereto have executed this Employment Agreement effective as of the date first written above but signed on the date(s) indicated below.</w:t>
      </w:r>
    </w:p>
    <w:p>
      <w:pPr>
        <w:spacing w:after="0" w:line="155"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CARET HOLDINGS, INC.</w:t>
      </w:r>
    </w:p>
    <w:p>
      <w:pPr>
        <w:spacing w:after="0" w:line="209"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-12700</wp:posOffset>
            </wp:positionV>
            <wp:extent cx="17526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189"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-12700</wp:posOffset>
            </wp:positionV>
            <wp:extent cx="1490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189" w:lineRule="exact"/>
        <w:rPr>
          <w:sz w:val="20"/>
          <w:szCs w:val="20"/>
          <w:color w:val="auto"/>
        </w:rPr>
      </w:pPr>
    </w:p>
    <w:p>
      <w:pPr>
        <w:ind w:left="3820"/>
        <w:spacing w:after="0"/>
        <w:tabs>
          <w:tab w:leader="none" w:pos="44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-12700</wp:posOffset>
            </wp:positionV>
            <wp:extent cx="1694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189"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Date: 12/15/2021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 Matt Bonakdarpour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-12700</wp:posOffset>
            </wp:positionV>
            <wp:extent cx="17570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21"/>
          <w:szCs w:val="21"/>
          <w:color w:val="auto"/>
        </w:rPr>
        <w:t>Matt Bonakdarpour</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Date: 12/7/2021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37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1"/>
          <w:szCs w:val="21"/>
          <w:b w:val="1"/>
          <w:bCs w:val="1"/>
          <w:color w:val="auto"/>
        </w:rPr>
        <w:t>Exhibit 10.3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THE PARTIES’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COMMERCIAL AGREEMENT</w:t>
      </w:r>
    </w:p>
    <w:p>
      <w:pPr>
        <w:spacing w:after="0" w:line="256" w:lineRule="exact"/>
        <w:rPr>
          <w:sz w:val="20"/>
          <w:szCs w:val="20"/>
          <w:color w:val="auto"/>
        </w:rPr>
      </w:pPr>
    </w:p>
    <w:p>
      <w:pPr>
        <w:jc w:val="both"/>
        <w:ind w:firstLine="261"/>
        <w:spacing w:after="0" w:line="273" w:lineRule="auto"/>
        <w:rPr>
          <w:sz w:val="20"/>
          <w:szCs w:val="20"/>
          <w:color w:val="auto"/>
        </w:rPr>
      </w:pPr>
      <w:r>
        <w:rPr>
          <w:rFonts w:ascii="Arial" w:cs="Arial" w:eastAsia="Arial" w:hAnsi="Arial"/>
          <w:sz w:val="21"/>
          <w:szCs w:val="21"/>
          <w:color w:val="auto"/>
        </w:rPr>
        <w:t>This First Amendment to the Commercial Agreement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and effective this 13th day of May, 2022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Caret Holdings, Inc. (“Company”), Carvana, LLC (“Dealer”), Carvana Insurance Services, LLC (“CIS”), and Carvana Group, LLC (“Parent”) (collectively, the entities Parent, CIS, and Dealer shall be referred to as “Carvana”). Carvana and Company shall be referred to as the Parties, and each a Party.</w:t>
      </w:r>
    </w:p>
    <w:p>
      <w:pPr>
        <w:spacing w:after="0" w:line="194" w:lineRule="exact"/>
        <w:rPr>
          <w:sz w:val="20"/>
          <w:szCs w:val="20"/>
          <w:color w:val="auto"/>
        </w:rPr>
      </w:pPr>
    </w:p>
    <w:p>
      <w:pPr>
        <w:jc w:val="both"/>
        <w:ind w:firstLine="278"/>
        <w:spacing w:after="0" w:line="29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Carvana and Company entered into the Commercial Agreement dated October 1, 2021, as amended or modified</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 (the “</w:t>
      </w:r>
      <w:r>
        <w:rPr>
          <w:rFonts w:ascii="Arial" w:cs="Arial" w:eastAsia="Arial" w:hAnsi="Arial"/>
          <w:sz w:val="21"/>
          <w:szCs w:val="21"/>
          <w:u w:val="single" w:color="auto"/>
          <w:color w:val="auto"/>
        </w:rPr>
        <w:t>Agreement</w:t>
      </w:r>
      <w:r>
        <w:rPr>
          <w:rFonts w:ascii="Arial" w:cs="Arial" w:eastAsia="Arial" w:hAnsi="Arial"/>
          <w:sz w:val="21"/>
          <w:szCs w:val="21"/>
          <w:color w:val="auto"/>
        </w:rPr>
        <w:t>”); and</w:t>
      </w:r>
    </w:p>
    <w:p>
      <w:pPr>
        <w:spacing w:after="0" w:line="169"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Carvana and Company wish to modify the Agreement to provide for the amended terms and conditions, as</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described herein.</w:t>
      </w:r>
    </w:p>
    <w:p>
      <w:pPr>
        <w:spacing w:after="0" w:line="169" w:lineRule="exact"/>
        <w:rPr>
          <w:sz w:val="20"/>
          <w:szCs w:val="20"/>
          <w:color w:val="auto"/>
        </w:rPr>
      </w:pPr>
    </w:p>
    <w:p>
      <w:pPr>
        <w:jc w:val="both"/>
        <w:ind w:firstLine="252"/>
        <w:spacing w:after="0" w:line="28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promises, mutual covenants, and agreements as described in the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and for other good and valuable consideration, the receipt and sufficiency of which are hereby acknowledged, the Parties hereto agree as follows:</w:t>
      </w:r>
    </w:p>
    <w:p>
      <w:pPr>
        <w:spacing w:after="0" w:line="194"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Schedule 2 to the Commercial Agreement</w:t>
      </w:r>
    </w:p>
    <w:p>
      <w:pPr>
        <w:spacing w:after="0" w:line="262" w:lineRule="exact"/>
        <w:rPr>
          <w:sz w:val="20"/>
          <w:szCs w:val="20"/>
          <w:color w:val="auto"/>
        </w:rPr>
      </w:pPr>
    </w:p>
    <w:p>
      <w:pPr>
        <w:spacing w:after="0" w:line="292" w:lineRule="auto"/>
        <w:rPr>
          <w:sz w:val="20"/>
          <w:szCs w:val="20"/>
          <w:color w:val="auto"/>
        </w:rPr>
      </w:pPr>
      <w:r>
        <w:rPr>
          <w:rFonts w:ascii="Arial" w:cs="Arial" w:eastAsia="Arial" w:hAnsi="Arial"/>
          <w:sz w:val="21"/>
          <w:szCs w:val="21"/>
          <w:color w:val="auto"/>
        </w:rPr>
        <w:t xml:space="preserve">The original Schedule 2 to the Commercial Agreement shall be deleted in its entirety, and replaced with a revised and amended Schedule 2 which is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81"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Schedule 3.1 to the Commercial Agreement</w:t>
      </w:r>
    </w:p>
    <w:p>
      <w:pPr>
        <w:spacing w:after="0" w:line="262" w:lineRule="exact"/>
        <w:rPr>
          <w:sz w:val="20"/>
          <w:szCs w:val="20"/>
          <w:color w:val="auto"/>
        </w:rPr>
      </w:pPr>
    </w:p>
    <w:p>
      <w:pPr>
        <w:spacing w:after="0" w:line="292" w:lineRule="auto"/>
        <w:rPr>
          <w:sz w:val="20"/>
          <w:szCs w:val="20"/>
          <w:color w:val="auto"/>
        </w:rPr>
      </w:pPr>
      <w:r>
        <w:rPr>
          <w:rFonts w:ascii="Arial" w:cs="Arial" w:eastAsia="Arial" w:hAnsi="Arial"/>
          <w:sz w:val="21"/>
          <w:szCs w:val="21"/>
          <w:color w:val="auto"/>
        </w:rPr>
        <w:t>The defined term for “Attributable Auto Policies” set forth in Schedule 3.1 of the Commercial Agreement shall be deleted in its entirety and replaced with the following revised defined term:</w:t>
      </w:r>
    </w:p>
    <w:p>
      <w:pPr>
        <w:spacing w:after="0" w:line="168" w:lineRule="exact"/>
        <w:rPr>
          <w:sz w:val="20"/>
          <w:szCs w:val="20"/>
          <w:color w:val="auto"/>
        </w:rPr>
      </w:pPr>
    </w:p>
    <w:p>
      <w:pPr>
        <w:jc w:val="both"/>
        <w:ind w:left="640" w:firstLine="8"/>
        <w:spacing w:after="0" w:line="266" w:lineRule="auto"/>
        <w:rPr>
          <w:sz w:val="20"/>
          <w:szCs w:val="20"/>
          <w:color w:val="auto"/>
        </w:rPr>
      </w:pPr>
      <w:r>
        <w:rPr>
          <w:rFonts w:ascii="Arial" w:cs="Arial" w:eastAsia="Arial" w:hAnsi="Arial"/>
          <w:sz w:val="19"/>
          <w:szCs w:val="19"/>
          <w:b w:val="1"/>
          <w:bCs w:val="1"/>
          <w:i w:val="1"/>
          <w:iCs w:val="1"/>
          <w:color w:val="auto"/>
        </w:rPr>
        <w:t xml:space="preserve">“Attributable Auto Policies” </w:t>
      </w:r>
      <w:r>
        <w:rPr>
          <w:rFonts w:ascii="Arial" w:cs="Arial" w:eastAsia="Arial" w:hAnsi="Arial"/>
          <w:sz w:val="19"/>
          <w:szCs w:val="19"/>
          <w:color w:val="auto"/>
        </w:rPr>
        <w:t>means the number of new Company Policies, for which the policies have become effective,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excluding brokered automobile insurance policies, attributed to Carvana in a given calendar month pursuant to Section 1(a) of Schedule 3. If a Carvana Customer returns their vehicle to Carvana and cancels their Company policy within seven (7) calendar days of the return of said vehicle to Carvana, that policy does not count towards Attributable Auto Policies.</w:t>
      </w:r>
    </w:p>
    <w:p>
      <w:pPr>
        <w:spacing w:after="0" w:line="171"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Schedule 5 to the Commercial Agreement</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21"/>
          <w:szCs w:val="21"/>
          <w:color w:val="auto"/>
        </w:rPr>
        <w:t>Section 6 of Schedule 5 to the Commercial Agreement (Agency Agreement) shall deleted in its entirety and replaced with the following:</w:t>
      </w:r>
    </w:p>
    <w:p>
      <w:pPr>
        <w:spacing w:after="0" w:line="193" w:lineRule="exact"/>
        <w:rPr>
          <w:sz w:val="20"/>
          <w:szCs w:val="20"/>
          <w:color w:val="auto"/>
        </w:rPr>
      </w:pPr>
    </w:p>
    <w:p>
      <w:pPr>
        <w:ind w:left="640"/>
        <w:spacing w:after="0" w:line="292" w:lineRule="auto"/>
        <w:rPr>
          <w:sz w:val="20"/>
          <w:szCs w:val="20"/>
          <w:color w:val="auto"/>
        </w:rPr>
      </w:pPr>
      <w:r>
        <w:rPr>
          <w:rFonts w:ascii="Arial" w:cs="Arial" w:eastAsia="Arial" w:hAnsi="Arial"/>
          <w:sz w:val="21"/>
          <w:szCs w:val="21"/>
          <w:color w:val="auto"/>
        </w:rPr>
        <w:t>“To the extent CIS possesses or otherwise stores, processes, or transmits cardholder data on behalf of Company, or to the extent that CIS could impact the security of Company's</w:t>
      </w:r>
    </w:p>
    <w:p>
      <w:pPr>
        <w:sectPr>
          <w:pgSz w:w="11900" w:h="16838" w:orient="portrait"/>
          <w:cols w:equalWidth="0" w:num="1">
            <w:col w:w="11240"/>
          </w:cols>
          <w:pgMar w:left="320" w:top="1392" w:right="339" w:bottom="1440" w:gutter="0" w:footer="0" w:header="0"/>
        </w:sectPr>
      </w:pPr>
    </w:p>
    <w:bookmarkStart w:id="71" w:name="page72"/>
    <w:bookmarkEnd w:id="71"/>
    <w:p>
      <w:pPr>
        <w:jc w:val="both"/>
        <w:spacing w:after="0" w:line="267" w:lineRule="auto"/>
        <w:rPr>
          <w:sz w:val="20"/>
          <w:szCs w:val="20"/>
          <w:color w:val="auto"/>
        </w:rPr>
      </w:pPr>
      <w:r>
        <w:rPr>
          <w:rFonts w:ascii="Arial" w:cs="Arial" w:eastAsia="Arial" w:hAnsi="Arial"/>
          <w:sz w:val="21"/>
          <w:szCs w:val="21"/>
          <w:color w:val="auto"/>
        </w:rPr>
        <w:t>cardholder data environment, CIS acknowledges responsibility for reasonably securing such data, which in no event shall be less than industry standard. CIS will provide materials and/or affirmations to Company demonstrating compliance, to the extent relevant, with the most current version of Payment Card Industry (PCI) Data Security Standard (DSS) published by the PCI Security Standards Council (PCI SSC), as may be applicable to or required of CIS as Company's service provider to assist with Company's provision of evidence of PCI DSS compliance. If CIS becomes aware that CIS, Agents, or Sub-Producers is not, or will not likely be, in compliance with applicable PCI DSS requirements, or CIS's materials and/or affirmations related thereto, for any reason, CIS will report in writing to Company within one (1) calendar day the non-compliance or likely non-compliance.”</w:t>
      </w:r>
    </w:p>
    <w:p>
      <w:pPr>
        <w:spacing w:after="0" w:line="200" w:lineRule="exact"/>
        <w:rPr>
          <w:sz w:val="20"/>
          <w:szCs w:val="20"/>
          <w:color w:val="auto"/>
        </w:rPr>
      </w:pPr>
    </w:p>
    <w:p>
      <w:pPr>
        <w:spacing w:after="0" w:line="288"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[Signature page to follow]</w:t>
      </w:r>
    </w:p>
    <w:p>
      <w:pPr>
        <w:sectPr>
          <w:pgSz w:w="11900" w:h="16838" w:orient="portrait"/>
          <w:cols w:equalWidth="0" w:num="1">
            <w:col w:w="10600"/>
          </w:cols>
          <w:pgMar w:left="960" w:top="1403" w:right="339" w:bottom="1440" w:gutter="0" w:footer="0" w:header="0"/>
        </w:sectPr>
      </w:pPr>
    </w:p>
    <w:bookmarkStart w:id="72" w:name="page73"/>
    <w:bookmarkEnd w:id="72"/>
    <w:p>
      <w:pPr>
        <w:spacing w:after="0" w:line="292" w:lineRule="auto"/>
        <w:rPr>
          <w:sz w:val="20"/>
          <w:szCs w:val="20"/>
          <w:color w:val="auto"/>
        </w:rPr>
      </w:pPr>
      <w:r>
        <w:rPr>
          <w:rFonts w:ascii="Arial" w:cs="Arial" w:eastAsia="Arial" w:hAnsi="Arial"/>
          <w:sz w:val="21"/>
          <w:szCs w:val="21"/>
          <w:color w:val="auto"/>
        </w:rPr>
        <w:t>IN WITNESS WHEREOF, the Parties acknowledge their receipt, review, understanding, and acceptance of this Addendum,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Caret Holdings, Inc.</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Daniel Rosenthal</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-9525</wp:posOffset>
            </wp:positionV>
            <wp:extent cx="10306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Name: Daniel Rosenthal</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Title: CROO</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Date: 5/17/2022</w:t>
      </w:r>
    </w:p>
    <w:p>
      <w:pPr>
        <w:spacing w:after="0" w:line="200" w:lineRule="exact"/>
        <w:rPr>
          <w:sz w:val="20"/>
          <w:szCs w:val="20"/>
          <w:color w:val="auto"/>
        </w:rPr>
      </w:pP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Carvana, LLC</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Paul Breaux</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-9525</wp:posOffset>
            </wp:positionV>
            <wp:extent cx="78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Name: Paul Breaux</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Title: General Counsel</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Date: 5/13/2022</w:t>
      </w:r>
    </w:p>
    <w:p>
      <w:pPr>
        <w:spacing w:after="0" w:line="200" w:lineRule="exact"/>
        <w:rPr>
          <w:sz w:val="20"/>
          <w:szCs w:val="20"/>
          <w:color w:val="auto"/>
        </w:rPr>
      </w:pP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Carvana Insurance Services, LLC</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Paul Breaux</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-9525</wp:posOffset>
            </wp:positionV>
            <wp:extent cx="78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Name: Paul Breaux</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Title: General Counsel</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Date: 5/13/2022</w:t>
      </w:r>
    </w:p>
    <w:p>
      <w:pPr>
        <w:spacing w:after="0" w:line="200" w:lineRule="exact"/>
        <w:rPr>
          <w:sz w:val="20"/>
          <w:szCs w:val="20"/>
          <w:color w:val="auto"/>
        </w:rPr>
      </w:pPr>
    </w:p>
    <w:p>
      <w:pPr>
        <w:spacing w:after="0" w:line="21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Carvana Group, LLC</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Paul Breaux</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By: /s/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-9525</wp:posOffset>
            </wp:positionV>
            <wp:extent cx="78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Name: Paul Breaux</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Title: General Counsel</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Date: 5/13/2022</w:t>
      </w:r>
    </w:p>
    <w:p>
      <w:pPr>
        <w:sectPr>
          <w:pgSz w:w="11900" w:h="16838" w:orient="portrait"/>
          <w:cols w:equalWidth="0" w:num="1">
            <w:col w:w="10500"/>
          </w:cols>
          <w:pgMar w:left="320" w:top="1403" w:right="10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45" w:lineRule="exact"/>
        <w:rPr>
          <w:sz w:val="20"/>
          <w:szCs w:val="20"/>
          <w:color w:val="auto"/>
        </w:rPr>
      </w:pPr>
    </w:p>
    <w:p>
      <w:pPr>
        <w:ind w:left="520" w:hanging="498"/>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4" w:lineRule="exact"/>
        <w:rPr>
          <w:rFonts w:ascii="Arial" w:cs="Arial" w:eastAsia="Arial" w:hAnsi="Arial"/>
          <w:sz w:val="18"/>
          <w:szCs w:val="18"/>
          <w:color w:val="auto"/>
        </w:rPr>
      </w:pPr>
    </w:p>
    <w:p>
      <w:pPr>
        <w:jc w:val="both"/>
        <w:ind w:left="200" w:right="20" w:hanging="178"/>
        <w:spacing w:after="0" w:line="239" w:lineRule="auto"/>
        <w:tabs>
          <w:tab w:leader="none" w:pos="5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200" w:right="20" w:hanging="178"/>
        <w:spacing w:after="0" w:line="276" w:lineRule="auto"/>
        <w:tabs>
          <w:tab w:leader="none" w:pos="51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200" w:right="20" w:hanging="178"/>
        <w:spacing w:after="0" w:line="239" w:lineRule="auto"/>
        <w:tabs>
          <w:tab w:leader="none" w:pos="5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8"/>
          <w:szCs w:val="18"/>
          <w:color w:val="auto"/>
        </w:rPr>
      </w:pPr>
    </w:p>
    <w:p>
      <w:pPr>
        <w:ind w:left="780" w:right="20" w:hanging="255"/>
        <w:spacing w:after="0" w:line="313" w:lineRule="auto"/>
        <w:tabs>
          <w:tab w:leader="none" w:pos="1098"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5"/>
        <w:spacing w:after="0" w:line="239" w:lineRule="auto"/>
        <w:tabs>
          <w:tab w:leader="none" w:pos="10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8"/>
          <w:szCs w:val="18"/>
          <w:color w:val="auto"/>
        </w:rPr>
      </w:pPr>
    </w:p>
    <w:p>
      <w:pPr>
        <w:ind w:left="200" w:right="20" w:hanging="178"/>
        <w:spacing w:after="0" w:line="313" w:lineRule="auto"/>
        <w:tabs>
          <w:tab w:leader="none" w:pos="51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20" w:hanging="255"/>
        <w:spacing w:after="0" w:line="276" w:lineRule="auto"/>
        <w:tabs>
          <w:tab w:leader="none" w:pos="10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20" w:hanging="255"/>
        <w:spacing w:after="0" w:line="249" w:lineRule="auto"/>
        <w:tabs>
          <w:tab w:leader="none" w:pos="10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5"/>
          <w:szCs w:val="15"/>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19685</wp:posOffset>
            </wp:positionV>
            <wp:extent cx="27178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20"/>
          </w:cols>
          <w:pgMar w:left="640" w:top="139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 Robert Bateman, certify that:</w:t>
      </w:r>
    </w:p>
    <w:p>
      <w:pPr>
        <w:spacing w:after="0" w:line="111" w:lineRule="exact"/>
        <w:rPr>
          <w:sz w:val="20"/>
          <w:szCs w:val="20"/>
          <w:color w:val="auto"/>
        </w:rPr>
      </w:pPr>
    </w:p>
    <w:p>
      <w:pPr>
        <w:ind w:left="340" w:hanging="336"/>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5" w:lineRule="exact"/>
        <w:rPr>
          <w:sz w:val="20"/>
          <w:szCs w:val="20"/>
          <w:color w:val="auto"/>
        </w:rPr>
      </w:pPr>
    </w:p>
    <w:p>
      <w:pPr>
        <w:ind w:left="340" w:right="20" w:hanging="336"/>
        <w:spacing w:after="0" w:line="313" w:lineRule="auto"/>
        <w:tabs>
          <w:tab w:leader="none" w:pos="3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340" w:right="20" w:hanging="336"/>
        <w:spacing w:after="0" w:line="24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sz w:val="20"/>
          <w:szCs w:val="20"/>
          <w:color w:val="auto"/>
        </w:rPr>
      </w:pPr>
    </w:p>
    <w:p>
      <w:pPr>
        <w:jc w:val="both"/>
        <w:ind w:left="340" w:right="20" w:hanging="336"/>
        <w:spacing w:after="0" w:line="23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8"/>
          <w:szCs w:val="18"/>
          <w:color w:val="auto"/>
        </w:rPr>
      </w:pPr>
    </w:p>
    <w:p>
      <w:pPr>
        <w:ind w:left="720" w:right="20" w:hanging="385"/>
        <w:spacing w:after="0" w:line="276" w:lineRule="auto"/>
        <w:tabs>
          <w:tab w:leader="none" w:pos="7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20" w:right="20" w:hanging="385"/>
        <w:spacing w:after="0" w:line="239"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sz w:val="20"/>
          <w:szCs w:val="20"/>
          <w:color w:val="auto"/>
        </w:rPr>
      </w:pPr>
    </w:p>
    <w:p>
      <w:pPr>
        <w:ind w:left="340" w:right="20" w:hanging="336"/>
        <w:spacing w:after="0" w:line="276"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20" w:right="20" w:hanging="385"/>
        <w:spacing w:after="0" w:line="249" w:lineRule="auto"/>
        <w:tabs>
          <w:tab w:leader="none" w:pos="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20" w:right="20" w:hanging="385"/>
        <w:spacing w:after="0" w:line="249" w:lineRule="auto"/>
        <w:tabs>
          <w:tab w:leader="none" w:pos="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5"/>
          <w:szCs w:val="15"/>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19685</wp:posOffset>
            </wp:positionV>
            <wp:extent cx="2549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Bateman</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39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2"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Robert Bateman, Chief Financial Officer of the Company, each hereby certifies that, to the best of his knowledge:</w:t>
      </w:r>
    </w:p>
    <w:p>
      <w:pPr>
        <w:spacing w:after="0" w:line="268" w:lineRule="exact"/>
        <w:rPr>
          <w:sz w:val="20"/>
          <w:szCs w:val="20"/>
          <w:color w:val="auto"/>
        </w:rPr>
      </w:pPr>
    </w:p>
    <w:p>
      <w:pPr>
        <w:ind w:left="340" w:right="180" w:hanging="122"/>
        <w:spacing w:after="0" w:line="249" w:lineRule="auto"/>
        <w:rPr>
          <w:sz w:val="20"/>
          <w:szCs w:val="20"/>
          <w:color w:val="auto"/>
        </w:rPr>
      </w:pPr>
      <w:r>
        <w:rPr>
          <w:rFonts w:ascii="Arial" w:cs="Arial" w:eastAsia="Arial" w:hAnsi="Arial"/>
          <w:sz w:val="18"/>
          <w:szCs w:val="18"/>
          <w:color w:val="auto"/>
        </w:rPr>
        <w:t>1 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 The information contained in the Periodic Report fairly presents, in all material respects, the financial condition and results of operations of the Company.</w:t>
      </w: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August 8, 2022</w:t>
      </w:r>
    </w:p>
    <w:p>
      <w:pPr>
        <w:spacing w:after="0" w:line="200" w:lineRule="exact"/>
        <w:rPr>
          <w:sz w:val="20"/>
          <w:szCs w:val="20"/>
          <w:color w:val="auto"/>
        </w:rPr>
      </w:pPr>
    </w:p>
    <w:p>
      <w:pPr>
        <w:spacing w:after="0" w:line="33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Robert Bateman</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2"/>
    </w:lvl>
  </w:abstractNum>
  <w:abstractNum w:abstractNumId="7">
    <w:nsid w:val="2463B9EA"/>
    <w:multiLevelType w:val="hybridMultilevel"/>
    <w:lvl w:ilvl="0">
      <w:lvlJc w:val="left"/>
      <w:lvlText w:val="%1."/>
      <w:numFmt w:val="decimal"/>
      <w:start w:val="3"/>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decimal"/>
      <w:start w:val="5"/>
    </w:lvl>
  </w:abstractNum>
  <w:abstractNum w:abstractNumId="10">
    <w:nsid w:val="2D517796"/>
    <w:multiLevelType w:val="hybridMultilevel"/>
    <w:lvl w:ilvl="0">
      <w:lvlJc w:val="left"/>
      <w:lvlText w:val="%1."/>
      <w:numFmt w:val="decimal"/>
      <w:start w:val="6"/>
    </w:lvl>
  </w:abstractNum>
  <w:abstractNum w:abstractNumId="11">
    <w:nsid w:val="580BD78F"/>
    <w:multiLevelType w:val="hybridMultilevel"/>
    <w:lvl w:ilvl="0">
      <w:lvlJc w:val="left"/>
      <w:lvlText w:val="%1."/>
      <w:numFmt w:val="decimal"/>
      <w:start w:val="7"/>
    </w:lvl>
  </w:abstractNum>
  <w:abstractNum w:abstractNumId="12">
    <w:nsid w:val="153EA438"/>
    <w:multiLevelType w:val="hybridMultilevel"/>
    <w:lvl w:ilvl="0">
      <w:lvlJc w:val="left"/>
      <w:lvlText w:val="%1."/>
      <w:numFmt w:val="decimal"/>
      <w:start w:val="8"/>
    </w:lvl>
  </w:abstractNum>
  <w:abstractNum w:abstractNumId="13">
    <w:nsid w:val="3855585C"/>
    <w:multiLevelType w:val="hybridMultilevel"/>
    <w:lvl w:ilvl="0">
      <w:lvlJc w:val="left"/>
      <w:lvlText w:val="%1."/>
      <w:numFmt w:val="decimal"/>
      <w:start w:val="9"/>
    </w:lvl>
  </w:abstractNum>
  <w:abstractNum w:abstractNumId="14">
    <w:nsid w:val="70A64E2A"/>
    <w:multiLevelType w:val="hybridMultilevel"/>
    <w:lvl w:ilvl="0">
      <w:lvlJc w:val="left"/>
      <w:lvlText w:val="%1."/>
      <w:numFmt w:val="decimal"/>
      <w:start w:val="10"/>
    </w:lvl>
  </w:abstractNum>
  <w:abstractNum w:abstractNumId="15">
    <w:nsid w:val="6A2342EC"/>
    <w:multiLevelType w:val="hybridMultilevel"/>
    <w:lvl w:ilvl="0">
      <w:lvlJc w:val="left"/>
      <w:lvlText w:val="%1."/>
      <w:numFmt w:val="decimal"/>
      <w:start w:val="11"/>
    </w:lvl>
  </w:abstractNum>
  <w:abstractNum w:abstractNumId="16">
    <w:nsid w:val="2A487CB0"/>
    <w:multiLevelType w:val="hybridMultilevel"/>
    <w:lvl w:ilvl="0">
      <w:lvlJc w:val="left"/>
      <w:lvlText w:val="%1."/>
      <w:numFmt w:val="decimal"/>
      <w:start w:val="12"/>
    </w:lvl>
  </w:abstractNum>
  <w:abstractNum w:abstractNumId="17">
    <w:nsid w:val="1D4ED43B"/>
    <w:multiLevelType w:val="hybridMultilevel"/>
    <w:lvl w:ilvl="0">
      <w:lvlJc w:val="left"/>
      <w:lvlText w:val="%1."/>
      <w:numFmt w:val="decimal"/>
      <w:start w:val="13"/>
    </w:lvl>
  </w:abstractNum>
  <w:abstractNum w:abstractNumId="18">
    <w:nsid w:val="725A06FB"/>
    <w:multiLevelType w:val="hybridMultilevel"/>
    <w:lvl w:ilvl="0">
      <w:lvlJc w:val="left"/>
      <w:lvlText w:val="%1."/>
      <w:numFmt w:val="decimal"/>
      <w:start w:val="14"/>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Roman"/>
      <w:start w:val="1"/>
    </w:lvl>
  </w:abstractNum>
  <w:abstractNum w:abstractNumId="26">
    <w:nsid w:val="7644A45C"/>
    <w:multiLevelType w:val="hybridMultilevel"/>
    <w:lvl w:ilvl="0">
      <w:lvlJc w:val="left"/>
      <w:lvlText w:val="§"/>
      <w:numFmt w:val="bullet"/>
      <w:start w:val="1"/>
    </w:lvl>
    <w:lvl w:ilvl="1">
      <w:lvlJc w:val="left"/>
      <w:lvlText w:val="%2"/>
      <w:numFmt w:val="decimal"/>
      <w:start w:val="104"/>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2"/>
    </w:lvl>
  </w:abstractNum>
  <w:abstractNum w:abstractNumId="31">
    <w:nsid w:val="3DC240FB"/>
    <w:multiLevelType w:val="hybridMultilevel"/>
    <w:lvl w:ilvl="0">
      <w:lvlJc w:val="left"/>
      <w:lvlText w:val="%1."/>
      <w:numFmt w:val="decimal"/>
      <w:start w:val="3"/>
    </w:lvl>
  </w:abstractNum>
  <w:abstractNum w:abstractNumId="32">
    <w:nsid w:val="1BA026FA"/>
    <w:multiLevelType w:val="hybridMultilevel"/>
    <w:lvl w:ilvl="0">
      <w:lvlJc w:val="left"/>
      <w:lvlText w:val="(%1)"/>
      <w:numFmt w:val="lowerLetter"/>
      <w:start w:val="3"/>
    </w:lvl>
  </w:abstractNum>
  <w:abstractNum w:abstractNumId="33">
    <w:nsid w:val="79A1DEAA"/>
    <w:multiLevelType w:val="hybridMultilevel"/>
    <w:lvl w:ilvl="0">
      <w:lvlJc w:val="left"/>
      <w:lvlText w:val="(%1)"/>
      <w:numFmt w:val="lowerLetter"/>
      <w:start w:val="4"/>
    </w:lvl>
  </w:abstractNum>
  <w:abstractNum w:abstractNumId="34">
    <w:nsid w:val="75C6C33A"/>
    <w:multiLevelType w:val="hybridMultilevel"/>
    <w:lvl w:ilvl="0">
      <w:lvlJc w:val="left"/>
      <w:lvlText w:val="%1."/>
      <w:numFmt w:val="decimal"/>
      <w:start w:val="4"/>
    </w:lvl>
  </w:abstractNum>
  <w:abstractNum w:abstractNumId="35">
    <w:nsid w:val="12E685FB"/>
    <w:multiLevelType w:val="hybridMultilevel"/>
    <w:lvl w:ilvl="0">
      <w:lvlJc w:val="left"/>
      <w:lvlText w:val="(%1)"/>
      <w:numFmt w:val="lowerLetter"/>
      <w:start w:val="10"/>
    </w:lvl>
    <w:lvl w:ilvl="1">
      <w:lvlJc w:val="left"/>
      <w:lvlText w:val="(%2)"/>
      <w:numFmt w:val="lowerLetter"/>
      <w:start w:val="9"/>
    </w:lvl>
  </w:abstractNum>
  <w:abstractNum w:abstractNumId="36">
    <w:nsid w:val="70C6A529"/>
    <w:multiLevelType w:val="hybridMultilevel"/>
    <w:lvl w:ilvl="0">
      <w:lvlJc w:val="left"/>
      <w:lvlText w:val="%1"/>
      <w:numFmt w:val="lowerLetter"/>
      <w:start w:val="1"/>
    </w:lvl>
    <w:lvl w:ilvl="1">
      <w:lvlJc w:val="left"/>
      <w:lvlText w:val="(%2)"/>
      <w:numFmt w:val="lowerRoman"/>
      <w:start w:val="2"/>
    </w:lvl>
  </w:abstractNum>
  <w:abstractNum w:abstractNumId="37">
    <w:nsid w:val="520EEDD1"/>
    <w:multiLevelType w:val="hybridMultilevel"/>
    <w:lvl w:ilvl="0">
      <w:lvlJc w:val="left"/>
      <w:lvlText w:val="(%1)"/>
      <w:numFmt w:val="lowerLetter"/>
      <w:start w:val="11"/>
    </w:lvl>
    <w:lvl w:ilvl="1">
      <w:lvlJc w:val="left"/>
      <w:lvlText w:val="(%2)"/>
      <w:numFmt w:val="lowerRoman"/>
      <w:start w:val="1"/>
    </w:lvl>
  </w:abstractNum>
  <w:abstractNum w:abstractNumId="38">
    <w:nsid w:val="374A3FE6"/>
    <w:multiLevelType w:val="hybridMultilevel"/>
    <w:lvl w:ilvl="0">
      <w:lvlJc w:val="left"/>
      <w:lvlText w:val="(%1)"/>
      <w:numFmt w:val="upperLetter"/>
      <w:start w:val="1"/>
    </w:lvl>
  </w:abstractNum>
  <w:abstractNum w:abstractNumId="39">
    <w:nsid w:val="4F4EF005"/>
    <w:multiLevelType w:val="hybridMultilevel"/>
    <w:lvl w:ilvl="0">
      <w:lvlJc w:val="left"/>
      <w:lvlText w:val="(%1)"/>
      <w:numFmt w:val="lowerRoman"/>
      <w:start w:val="7"/>
    </w:lvl>
  </w:abstractNum>
  <w:abstractNum w:abstractNumId="40">
    <w:nsid w:val="23F9C13C"/>
    <w:multiLevelType w:val="hybridMultilevel"/>
    <w:lvl w:ilvl="0">
      <w:lvlJc w:val="left"/>
      <w:lvlText w:val="(%1)"/>
      <w:numFmt w:val="upperLetter"/>
      <w:start w:val="3"/>
    </w:lvl>
  </w:abstractNum>
  <w:abstractNum w:abstractNumId="41">
    <w:nsid w:val="649BB77C"/>
    <w:multiLevelType w:val="hybridMultilevel"/>
    <w:lvl w:ilvl="0">
      <w:lvlJc w:val="left"/>
      <w:lvlText w:val="(%1)"/>
      <w:numFmt w:val="lowerRoman"/>
      <w:start w:val="2"/>
    </w:lvl>
  </w:abstractNum>
  <w:abstractNum w:abstractNumId="42">
    <w:nsid w:val="275AC794"/>
    <w:multiLevelType w:val="hybridMultilevel"/>
    <w:lvl w:ilvl="0">
      <w:lvlJc w:val="left"/>
      <w:lvlText w:val="(%1)"/>
      <w:numFmt w:val="upperLetter"/>
      <w:start w:val="5"/>
    </w:lvl>
  </w:abstractNum>
  <w:abstractNum w:abstractNumId="43">
    <w:nsid w:val="39386575"/>
    <w:multiLevelType w:val="hybridMultilevel"/>
    <w:lvl w:ilvl="0">
      <w:lvlJc w:val="left"/>
      <w:lvlText w:val="(%1)"/>
      <w:numFmt w:val="upperLetter"/>
      <w:start w:val="8"/>
    </w:lvl>
  </w:abstractNum>
  <w:abstractNum w:abstractNumId="44">
    <w:nsid w:val="1CF10FD8"/>
    <w:multiLevelType w:val="hybridMultilevel"/>
    <w:lvl w:ilvl="0">
      <w:lvlJc w:val="left"/>
      <w:lvlText w:val="(%1)"/>
      <w:numFmt w:val="upperLetter"/>
      <w:start w:val="3"/>
    </w:lvl>
    <w:lvl w:ilvl="1">
      <w:lvlJc w:val="left"/>
      <w:lvlText w:val="(%2)"/>
      <w:numFmt w:val="lowerLetter"/>
      <w:start w:val="1"/>
    </w:lvl>
  </w:abstractNum>
  <w:abstractNum w:abstractNumId="45">
    <w:nsid w:val="180115BE"/>
    <w:multiLevelType w:val="hybridMultilevel"/>
    <w:lvl w:ilvl="0">
      <w:lvlJc w:val="left"/>
      <w:lvlText w:val="%1."/>
      <w:numFmt w:val="decimal"/>
      <w:start w:val="5"/>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decimal"/>
      <w:start w:val="6"/>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decimal"/>
      <w:start w:val="7"/>
    </w:lvl>
  </w:abstractNum>
  <w:abstractNum w:abstractNumId="51">
    <w:nsid w:val="D34B6A8"/>
    <w:multiLevelType w:val="hybridMultilevel"/>
    <w:lvl w:ilvl="0">
      <w:lvlJc w:val="left"/>
      <w:lvlText w:val="%1."/>
      <w:numFmt w:val="decimal"/>
      <w:start w:val="11"/>
    </w:lvl>
  </w:abstractNum>
  <w:abstractNum w:abstractNumId="52">
    <w:nsid w:val="10233C99"/>
    <w:multiLevelType w:val="hybridMultilevel"/>
    <w:lvl w:ilvl="0">
      <w:lvlJc w:val="left"/>
      <w:lvlText w:val="%1."/>
      <w:numFmt w:val="decimal"/>
      <w:start w:val="17"/>
    </w:lvl>
  </w:abstractNum>
  <w:abstractNum w:abstractNumId="53">
    <w:nsid w:val="3F6AB60F"/>
    <w:multiLevelType w:val="hybridMultilevel"/>
    <w:lvl w:ilvl="0">
      <w:lvlJc w:val="left"/>
      <w:lvlText w:val="%1"/>
      <w:numFmt w:val="upperLetter"/>
      <w:start w:val="1"/>
    </w:lvl>
    <w:lvl w:ilvl="1">
      <w:lvlJc w:val="left"/>
      <w:lvlText w:val="(%2)"/>
      <w:numFmt w:val="lowerLetter"/>
      <w:start w:val="5"/>
    </w:lvl>
  </w:abstractNum>
  <w:abstractNum w:abstractNumId="54">
    <w:nsid w:val="61574095"/>
    <w:multiLevelType w:val="hybridMultilevel"/>
    <w:lvl w:ilvl="0">
      <w:lvlJc w:val="left"/>
      <w:lvlText w:val="(%1)"/>
      <w:numFmt w:val="upperLetter"/>
      <w:start w:val="1"/>
    </w:lvl>
    <w:lvl w:ilvl="1">
      <w:lvlJc w:val="left"/>
      <w:lvlText w:val="%2"/>
      <w:numFmt w:val="lowerLetter"/>
      <w:start w:val="1"/>
    </w:lvl>
  </w:abstractNum>
  <w:abstractNum w:abstractNumId="55">
    <w:nsid w:val="7E0C57B1"/>
    <w:multiLevelType w:val="hybridMultilevel"/>
    <w:lvl w:ilvl="0">
      <w:lvlJc w:val="left"/>
      <w:lvlText w:val="(%1)"/>
      <w:numFmt w:val="lowerLetter"/>
      <w:start w:val="8"/>
    </w:lvl>
  </w:abstractNum>
  <w:abstractNum w:abstractNumId="56">
    <w:nsid w:val="77AE35EB"/>
    <w:multiLevelType w:val="hybridMultilevel"/>
    <w:lvl w:ilvl="0">
      <w:lvlJc w:val="left"/>
      <w:lvlText w:val="%1."/>
      <w:numFmt w:val="decimal"/>
      <w:start w:val="19"/>
    </w:lvl>
  </w:abstractNum>
  <w:abstractNum w:abstractNumId="57">
    <w:nsid w:val="579BE4F1"/>
    <w:multiLevelType w:val="hybridMultilevel"/>
    <w:lvl w:ilvl="0">
      <w:lvlJc w:val="left"/>
      <w:lvlText w:val="%1."/>
      <w:numFmt w:val="decimal"/>
      <w:start w:val="22"/>
    </w:lvl>
  </w:abstractNum>
  <w:abstractNum w:abstractNumId="58">
    <w:nsid w:val="310C50B3"/>
    <w:multiLevelType w:val="hybridMultilevel"/>
    <w:lvl w:ilvl="0">
      <w:lvlJc w:val="left"/>
      <w:lvlText w:val="(%1)"/>
      <w:numFmt w:val="lowerLetter"/>
      <w:start w:val="6"/>
    </w:lvl>
    <w:lvl w:ilvl="1">
      <w:lvlJc w:val="left"/>
      <w:lvlText w:val="(%2)"/>
      <w:numFmt w:val="lowerRoman"/>
      <w:start w:val="1"/>
    </w:lvl>
  </w:abstractNum>
  <w:abstractNum w:abstractNumId="59">
    <w:nsid w:val="5FF87E05"/>
    <w:multiLevelType w:val="hybridMultilevel"/>
    <w:lvl w:ilvl="0">
      <w:lvlJc w:val="left"/>
      <w:lvlText w:val="(%1)"/>
      <w:numFmt w:val="lowerRoman"/>
      <w:start w:val="6"/>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2"/>
    </w:lvl>
  </w:abstractNum>
  <w:abstractNum w:abstractNumId="62">
    <w:nsid w:val="1DBABF00"/>
    <w:multiLevelType w:val="hybridMultilevel"/>
    <w:lvl w:ilvl="0">
      <w:lvlJc w:val="left"/>
      <w:lvlText w:val="%1."/>
      <w:numFmt w:val="decimal"/>
      <w:start w:val="3"/>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bullet"/>
      <w:start w:val="1"/>
    </w:lvl>
  </w:abstractNum>
  <w:abstractNum w:abstractNumId="65">
    <w:nsid w:val="1381823A"/>
    <w:multiLevelType w:val="hybridMultilevel"/>
    <w:lvl w:ilvl="0">
      <w:lvlJc w:val="left"/>
      <w:lvlText w:val="2"/>
      <w:numFmt w:val="bullet"/>
      <w:start w:val="1"/>
    </w:lvl>
  </w:abstractNum>
  <w:abstractNum w:abstractNumId="66">
    <w:nsid w:val="5DB70AE5"/>
    <w:multiLevelType w:val="hybridMultilevel"/>
    <w:lvl w:ilvl="0">
      <w:lvlJc w:val="left"/>
      <w:lvlText w:val="3"/>
      <w:numFmt w:val="bullet"/>
      <w:start w:val="1"/>
    </w:lvl>
  </w:abstractNum>
  <w:abstractNum w:abstractNumId="67">
    <w:nsid w:val="100F8FCA"/>
    <w:multiLevelType w:val="hybridMultilevel"/>
    <w:lvl w:ilvl="0">
      <w:lvlJc w:val="left"/>
      <w:lvlText w:val="4"/>
      <w:numFmt w:val="bullet"/>
      <w:start w:val="1"/>
    </w:lvl>
    <w:lvl w:ilvl="1">
      <w:lvlJc w:val="left"/>
      <w:lvlText w:val="(%2)"/>
      <w:numFmt w:val="lowerLetter"/>
      <w:start w:val="1"/>
    </w:lvl>
  </w:abstractNum>
  <w:abstractNum w:abstractNumId="68">
    <w:nsid w:val="6590700B"/>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88" Type="http://schemas.openxmlformats.org/officeDocument/2006/relationships/hyperlink" Target="http://www.sec.gov/Archives/edgar/data/0001788882/000162828020015173/exhibit31-8xkxamendeda.htm" TargetMode="External"/><Relationship Id="rId89" Type="http://schemas.openxmlformats.org/officeDocument/2006/relationships/hyperlink" Target="http://www.sec.gov/Archives/edgar/data/0001788882/000178888221000062/a32amendedandrestatedbylaw.htm" TargetMode="External"/><Relationship Id="rId90" Type="http://schemas.openxmlformats.org/officeDocument/2006/relationships/hyperlink" Target="http://www.sec.gov/Archives/edgar/data/0001788882/000119312521289291/d236036dex31.htm" TargetMode="External"/><Relationship Id="rId91" Type="http://schemas.openxmlformats.org/officeDocument/2006/relationships/hyperlink" Target="http://www.sec.gov/Archives/edgar/data/1788882/000162828020014581/exhibit41-sx1a1xformof.htm" TargetMode="External"/><Relationship Id="rId92" Type="http://schemas.openxmlformats.org/officeDocument/2006/relationships/hyperlink" Target="http://www.sec.gov/Archives/edgar/data/0001788882/000119312521289291/d236036dex41.htm" TargetMode="External"/><Relationship Id="rId93" Type="http://schemas.openxmlformats.org/officeDocument/2006/relationships/hyperlink" Target="http://www.sec.gov/Archives/edgar/data/1788882/000119312522018949/d295910dex41.htm" TargetMode="External"/><Relationship Id="rId94" Type="http://schemas.openxmlformats.org/officeDocument/2006/relationships/hyperlink" Target="http://www.sec.gov/Archives/edgar/data/1788882/000119312522018949/d295910dex42.htm" TargetMode="External"/><Relationship Id="rId95" Type="http://schemas.openxmlformats.org/officeDocument/2006/relationships/hyperlink" Target="http://www.sec.gov/Archives/edgar/data/1788882/000178888222000013/executive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2022-08-09T02:35:27Z</dcterms:created>
  <dcterms:modified xsi:type="dcterms:W3CDTF">2022-08-09T02:35:27Z</dcterms:modified>
</cp:coreProperties>
</file>