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180"/>
        <w:jc w:val="center"/>
        <w:rPr>
          <w:color w:val="000000"/>
        </w:rPr>
      </w:pPr>
      <w:r>
        <w:rPr>
          <w:color w:val="000000"/>
        </w:rPr>
        <w:t xml:space="preserve">☐ </w:t>
      </w:r>
      <w:r>
        <w:rPr>
          <w:rFonts w:ascii="Times New Roman;sans-serif" w:hAnsi="Times New Roman;sans-serif"/>
          <w:b/>
          <w:color w:val="000000"/>
          <w:sz w:val="18"/>
        </w:rPr>
        <w:t>TRANSITION REPORT PURSUANT TO SECTION 13 OR 15(d)OF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from_____to_____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Commission file number 001-39658</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ROOT,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left"/>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 E. Rich Street, Suite 500</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pPr>
      <w:r>
        <w:rPr>
          <w:rFonts w:ascii="Times New Roman;sans-serif" w:hAnsi="Times New Roman;sans-serif"/>
          <w:b/>
          <w:color w:val="000000"/>
          <w:sz w:val="18"/>
        </w:rPr>
        <w:t>(</w:t>
      </w:r>
      <w:r>
        <w:rPr>
          <w:rFonts w:ascii="Times New Roman;sans-serif" w:hAnsi="Times New Roman;sans-serif"/>
          <w:b w:val="false"/>
          <w:color w:val="000000"/>
          <w:sz w:val="18"/>
        </w:rPr>
        <w:t>866</w:t>
      </w:r>
      <w:r>
        <w:rPr>
          <w:rFonts w:ascii="Times New Roman;sans-serif" w:hAnsi="Times New Roman;sans-serif"/>
          <w:b/>
          <w:color w:val="000000"/>
          <w:sz w:val="18"/>
        </w:rPr>
        <w:t xml:space="preserve">) </w:t>
      </w:r>
      <w:r>
        <w:rPr>
          <w:rFonts w:ascii="Times New Roman;sans-serif" w:hAnsi="Times New Roman;sans-serif"/>
          <w:b w:val="false"/>
          <w:color w:val="000000"/>
          <w:sz w:val="18"/>
        </w:rPr>
        <w:t>980-9431</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6837" w:type="dxa"/>
        <w:jc w:val="center"/>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7"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7"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7"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7"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7"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7"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15(d) of the Act. Yes ☐ No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W w:w="4124" w:type="dxa"/>
        <w:jc w:val="left"/>
        <w:tblInd w:w="0" w:type="dxa"/>
        <w:tblLayout w:type="fixed"/>
        <w:tblCellMar>
          <w:top w:w="28" w:type="dxa"/>
          <w:left w:w="28" w:type="dxa"/>
          <w:bottom w:w="28" w:type="dxa"/>
          <w:right w:w="28" w:type="dxa"/>
        </w:tblCellMar>
      </w:tblPr>
      <w:tblGrid>
        <w:gridCol w:w="674"/>
        <w:gridCol w:w="592"/>
        <w:gridCol w:w="594"/>
        <w:gridCol w:w="661"/>
        <w:gridCol w:w="661"/>
        <w:gridCol w:w="942"/>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4"/>
              </w:rPr>
              <w:t>Accelerated filer</w:t>
            </w:r>
            <w:r>
              <w:rPr>
                <w:color w:val="000000"/>
              </w:rPr>
              <w:t xml:space="preserve">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Act). Yes ☐ No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registrant's Class A common stock, par value $0.0001 per share (the “Class A common stock”) held by non-affiliates was approximately $80.3 million based upon the June 30, 2023, closing price of $8.94 as reported by the Nasdaq Global Select Market.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There were 9.6 million shares of Class A common stock and 5.0 million shares of Class B common stock outstanding as of February 15, 2024.</w:t>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Part III of this report incorporates by reference specific portions of the Registrant’s Notice of Annual Meeting and Proxy Statement relating to the Annual Meeting of Stockholders to be held on or about June 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ROOT,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 of and For the Year Ended December 31, 2023</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721"/>
        <w:gridCol w:w="632"/>
        <w:gridCol w:w="632"/>
        <w:gridCol w:w="2606"/>
        <w:gridCol w:w="2496"/>
        <w:gridCol w:w="2543"/>
        <w:gridCol w:w="167"/>
        <w:gridCol w:w="167"/>
        <w:gridCol w:w="241"/>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0">
              <w:r>
                <w:rPr>
                  <w:rStyle w:val="InternetLink"/>
                  <w:rFonts w:ascii="Times New Roman;sans-serif" w:hAnsi="Times New Roman;sans-serif"/>
                  <w:b w:val="false"/>
                  <w:color w:val="0000FF"/>
                  <w:sz w:val="20"/>
                  <w:u w:val="single"/>
                </w:rPr>
                <w:t>Special Note Regarding Forward-Looking Statements</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3">
              <w:r>
                <w:rPr>
                  <w:rStyle w:val="InternetLink"/>
                  <w:rFonts w:ascii="Times New Roman;sans-serif" w:hAnsi="Times New Roman;sans-serif"/>
                  <w:b w:val="false"/>
                  <w:color w:val="0000FF"/>
                  <w:sz w:val="20"/>
                  <w:u w:val="single"/>
                </w:rPr>
                <w:t>Risk Factors Summary</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6">
              <w:r>
                <w:rPr>
                  <w:rStyle w:val="InternetLink"/>
                  <w:rFonts w:ascii="Times New Roman;sans-serif" w:hAnsi="Times New Roman;sans-serif"/>
                  <w:b w:val="false"/>
                  <w:color w:val="0000FF"/>
                  <w:sz w:val="20"/>
                  <w:u w:val="single"/>
                </w:rPr>
                <w:t>Part I.</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9">
              <w:r>
                <w:rPr>
                  <w:rStyle w:val="InternetLink"/>
                  <w:rFonts w:ascii="Times New Roman;sans-serif" w:hAnsi="Times New Roman;sans-serif"/>
                  <w:b w:val="false"/>
                  <w:color w:val="0000FF"/>
                  <w:sz w:val="20"/>
                  <w:u w:val="single"/>
                </w:rPr>
                <w:t>Item 1.</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9">
              <w:r>
                <w:rPr>
                  <w:rStyle w:val="InternetLink"/>
                  <w:rFonts w:ascii="Times New Roman;sans-serif" w:hAnsi="Times New Roman;sans-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9">
              <w:r>
                <w:rPr>
                  <w:rStyle w:val="InternetLink"/>
                  <w:rFonts w:ascii="Times New Roman;sans-serif" w:hAnsi="Times New Roman;sans-serif"/>
                  <w:b w:val="false"/>
                  <w:color w:val="0000FF"/>
                  <w:sz w:val="20"/>
                  <w:u w:val="single"/>
                </w:rPr>
                <w:t>1</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58">
              <w:r>
                <w:rPr>
                  <w:rStyle w:val="InternetLink"/>
                  <w:rFonts w:ascii="Times New Roman;sans-serif" w:hAnsi="Times New Roman;sans-serif"/>
                  <w:b w:val="false"/>
                  <w:color w:val="0000FF"/>
                  <w:sz w:val="20"/>
                  <w:u w:val="single"/>
                </w:rPr>
                <w:t>Item 1A.</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58">
              <w:r>
                <w:rPr>
                  <w:rStyle w:val="InternetLink"/>
                  <w:rFonts w:ascii="Times New Roman;sans-serif" w:hAnsi="Times New Roman;sans-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58">
              <w:r>
                <w:rPr>
                  <w:rStyle w:val="InternetLink"/>
                  <w:rFonts w:ascii="Times New Roman;sans-serif" w:hAnsi="Times New Roman;sans-serif"/>
                  <w:b w:val="false"/>
                  <w:color w:val="0000FF"/>
                  <w:sz w:val="20"/>
                  <w:u w:val="single"/>
                </w:rPr>
                <w:t>16</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1">
              <w:r>
                <w:rPr>
                  <w:rStyle w:val="InternetLink"/>
                  <w:rFonts w:ascii="Times New Roman;sans-serif" w:hAnsi="Times New Roman;sans-serif"/>
                  <w:b w:val="false"/>
                  <w:color w:val="0000FF"/>
                  <w:sz w:val="20"/>
                  <w:u w:val="single"/>
                </w:rPr>
                <w:t xml:space="preserve">Item 1B.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1">
              <w:r>
                <w:rPr>
                  <w:rStyle w:val="InternetLink"/>
                  <w:rFonts w:ascii="Times New Roman;sans-serif" w:hAnsi="Times New Roman;sans-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61">
              <w:r>
                <w:rPr>
                  <w:rStyle w:val="InternetLink"/>
                  <w:rFonts w:ascii="Times New Roman;sans-serif" w:hAnsi="Times New Roman;sans-serif"/>
                  <w:b w:val="false"/>
                  <w:color w:val="0000FF"/>
                  <w:sz w:val="20"/>
                  <w:u w:val="single"/>
                </w:rPr>
                <w:t>55</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10">
              <w:r>
                <w:rPr>
                  <w:rStyle w:val="InternetLink"/>
                  <w:rFonts w:ascii="Times New Roman;sans-serif" w:hAnsi="Times New Roman;sans-serif"/>
                  <w:b w:val="false"/>
                  <w:color w:val="0000FF"/>
                  <w:sz w:val="20"/>
                  <w:u w:val="single"/>
                </w:rPr>
                <w:t>Item 1C.</w:t>
              </w:r>
            </w:hyperlink>
            <w:r>
              <w:rPr>
                <w:color w:val="000000"/>
              </w:rPr>
              <w:t xml:space="preserve"> </w:t>
            </w:r>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10">
              <w:r>
                <w:rPr>
                  <w:rStyle w:val="InternetLink"/>
                  <w:rFonts w:ascii="Times New Roman;sans-serif" w:hAnsi="Times New Roman;sans-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710">
              <w:r>
                <w:rPr>
                  <w:rStyle w:val="InternetLink"/>
                  <w:rFonts w:ascii="Times New Roman;sans-serif" w:hAnsi="Times New Roman;sans-serif"/>
                  <w:b w:val="false"/>
                  <w:color w:val="0000FF"/>
                  <w:sz w:val="20"/>
                  <w:u w:val="single"/>
                </w:rPr>
                <w:t>56</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4">
              <w:r>
                <w:rPr>
                  <w:rStyle w:val="InternetLink"/>
                  <w:rFonts w:ascii="Times New Roman;sans-serif" w:hAnsi="Times New Roman;sans-serif"/>
                  <w:b w:val="false"/>
                  <w:color w:val="0000FF"/>
                  <w:sz w:val="20"/>
                  <w:u w:val="single"/>
                </w:rPr>
                <w:t>Item 2.</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4">
              <w:r>
                <w:rPr>
                  <w:rStyle w:val="InternetLink"/>
                  <w:rFonts w:ascii="Times New Roman;sans-serif" w:hAnsi="Times New Roman;sans-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64">
              <w:r>
                <w:rPr>
                  <w:rStyle w:val="InternetLink"/>
                  <w:rFonts w:ascii="Times New Roman;sans-serif" w:hAnsi="Times New Roman;sans-serif"/>
                  <w:b w:val="false"/>
                  <w:color w:val="0000FF"/>
                  <w:sz w:val="20"/>
                  <w:u w:val="single"/>
                </w:rPr>
                <w:t>58</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7">
              <w:r>
                <w:rPr>
                  <w:rStyle w:val="InternetLink"/>
                  <w:rFonts w:ascii="Times New Roman;sans-serif" w:hAnsi="Times New Roman;sans-serif"/>
                  <w:b w:val="false"/>
                  <w:color w:val="0000FF"/>
                  <w:sz w:val="20"/>
                  <w:u w:val="single"/>
                </w:rPr>
                <w:t xml:space="preserve">Item 3.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67">
              <w:r>
                <w:rPr>
                  <w:rStyle w:val="InternetLink"/>
                  <w:rFonts w:ascii="Times New Roman;sans-serif" w:hAnsi="Times New Roman;sans-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67">
              <w:r>
                <w:rPr>
                  <w:rStyle w:val="InternetLink"/>
                  <w:rFonts w:ascii="Times New Roman;sans-serif" w:hAnsi="Times New Roman;sans-serif"/>
                  <w:b w:val="false"/>
                  <w:color w:val="0000FF"/>
                  <w:sz w:val="20"/>
                  <w:u w:val="single"/>
                </w:rPr>
                <w:t>59</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0">
              <w:r>
                <w:rPr>
                  <w:rStyle w:val="InternetLink"/>
                  <w:rFonts w:ascii="Times New Roman;sans-serif" w:hAnsi="Times New Roman;sans-serif"/>
                  <w:b w:val="false"/>
                  <w:color w:val="0000FF"/>
                  <w:sz w:val="20"/>
                  <w:u w:val="single"/>
                </w:rPr>
                <w:t xml:space="preserve">Item 4.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0">
              <w:r>
                <w:rPr>
                  <w:rStyle w:val="InternetLink"/>
                  <w:rFonts w:ascii="Times New Roman;sans-serif" w:hAnsi="Times New Roman;sans-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70">
              <w:r>
                <w:rPr>
                  <w:rStyle w:val="InternetLink"/>
                  <w:rFonts w:ascii="Times New Roman;sans-serif" w:hAnsi="Times New Roman;sans-serif"/>
                  <w:b w:val="false"/>
                  <w:color w:val="0000FF"/>
                  <w:sz w:val="20"/>
                  <w:u w:val="single"/>
                </w:rPr>
                <w:t>60</w:t>
              </w:r>
            </w:hyperlink>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73">
              <w:r>
                <w:rPr>
                  <w:rStyle w:val="InternetLink"/>
                  <w:rFonts w:ascii="Times New Roman;sans-serif" w:hAnsi="Times New Roman;sans-serif"/>
                  <w:b w:val="false"/>
                  <w:color w:val="0000FF"/>
                  <w:sz w:val="20"/>
                  <w:u w:val="single"/>
                </w:rPr>
                <w:t xml:space="preserve">Part II. </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6">
              <w:r>
                <w:rPr>
                  <w:rStyle w:val="InternetLink"/>
                  <w:rFonts w:ascii="Times New Roman;sans-serif" w:hAnsi="Times New Roman;sans-serif"/>
                  <w:b w:val="false"/>
                  <w:color w:val="0000FF"/>
                  <w:sz w:val="20"/>
                  <w:u w:val="single"/>
                </w:rPr>
                <w:t>Item 5.</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76">
              <w:r>
                <w:rPr>
                  <w:rStyle w:val="InternetLink"/>
                  <w:rFonts w:ascii="Times New Roman;sans-serif" w:hAnsi="Times New Roman;sans-serif"/>
                  <w:b w:val="false"/>
                  <w:color w:val="0000FF"/>
                  <w:sz w:val="20"/>
                  <w:u w:val="single"/>
                </w:rPr>
                <w:t>61</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9">
              <w:r>
                <w:rPr>
                  <w:rStyle w:val="InternetLink"/>
                  <w:rFonts w:ascii="Times New Roman;sans-serif" w:hAnsi="Times New Roman;sans-serif"/>
                  <w:b w:val="false"/>
                  <w:color w:val="0000FF"/>
                  <w:sz w:val="20"/>
                  <w:u w:val="single"/>
                </w:rPr>
                <w:t>Item 6</w:t>
              </w:r>
            </w:hyperlink>
            <w:r>
              <w:rPr>
                <w:rFonts w:ascii="Times New Roman;sans-serif" w:hAnsi="Times New Roman;sans-serif"/>
                <w:b w:val="false"/>
                <w:color w:val="000000"/>
                <w:sz w:val="20"/>
              </w:rPr>
              <w:t>.</w:t>
            </w:r>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79">
              <w:r>
                <w:rPr>
                  <w:rStyle w:val="InternetLink"/>
                  <w:rFonts w:ascii="Times New Roman;sans-serif" w:hAnsi="Times New Roman;sans-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79">
              <w:r>
                <w:rPr>
                  <w:rStyle w:val="InternetLink"/>
                  <w:rFonts w:ascii="Times New Roman;sans-serif" w:hAnsi="Times New Roman;sans-serif"/>
                  <w:b w:val="false"/>
                  <w:color w:val="0000FF"/>
                  <w:sz w:val="20"/>
                  <w:u w:val="single"/>
                </w:rPr>
                <w:t>62</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82">
              <w:r>
                <w:rPr>
                  <w:rStyle w:val="InternetLink"/>
                  <w:rFonts w:ascii="Times New Roman;sans-serif" w:hAnsi="Times New Roman;sans-serif"/>
                  <w:b w:val="false"/>
                  <w:color w:val="0000FF"/>
                  <w:sz w:val="20"/>
                  <w:u w:val="single"/>
                </w:rPr>
                <w:t>Item 7.</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82">
              <w:r>
                <w:rPr>
                  <w:rStyle w:val="InternetLink"/>
                  <w:rFonts w:ascii="Times New Roman;sans-serif" w:hAnsi="Times New Roman;sans-serif"/>
                  <w:b w:val="false"/>
                  <w:color w:val="0000FF"/>
                  <w:sz w:val="20"/>
                  <w:u w:val="single"/>
                </w:rPr>
                <w:t>63</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12">
              <w:r>
                <w:rPr>
                  <w:rStyle w:val="InternetLink"/>
                  <w:rFonts w:ascii="Times New Roman;sans-serif" w:hAnsi="Times New Roman;sans-serif"/>
                  <w:b w:val="false"/>
                  <w:color w:val="0000FF"/>
                  <w:sz w:val="20"/>
                  <w:u w:val="single"/>
                </w:rPr>
                <w:t>Item 7A.</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12">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12">
              <w:r>
                <w:rPr>
                  <w:rStyle w:val="InternetLink"/>
                  <w:rFonts w:ascii="Times New Roman;sans-serif" w:hAnsi="Times New Roman;sans-serif"/>
                  <w:b w:val="false"/>
                  <w:color w:val="0000FF"/>
                  <w:sz w:val="20"/>
                  <w:u w:val="single"/>
                </w:rPr>
                <w:t>84</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21">
              <w:r>
                <w:rPr>
                  <w:rStyle w:val="InternetLink"/>
                  <w:rFonts w:ascii="Times New Roman;sans-serif" w:hAnsi="Times New Roman;sans-serif"/>
                  <w:b w:val="false"/>
                  <w:color w:val="0000FF"/>
                  <w:sz w:val="20"/>
                  <w:u w:val="single"/>
                </w:rPr>
                <w:t xml:space="preserve">Item 8.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21">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21">
              <w:r>
                <w:rPr>
                  <w:rStyle w:val="InternetLink"/>
                  <w:rFonts w:ascii="Times New Roman;sans-serif" w:hAnsi="Times New Roman;sans-serif"/>
                  <w:b w:val="false"/>
                  <w:color w:val="0000FF"/>
                  <w:sz w:val="20"/>
                  <w:u w:val="single"/>
                </w:rPr>
                <w:t>85</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44">
              <w:r>
                <w:rPr>
                  <w:rStyle w:val="InternetLink"/>
                  <w:rFonts w:ascii="Times New Roman;sans-serif" w:hAnsi="Times New Roman;sans-serif"/>
                  <w:b w:val="false"/>
                  <w:color w:val="0000FF"/>
                  <w:sz w:val="20"/>
                  <w:u w:val="single"/>
                </w:rPr>
                <w:t>Item 9.</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44">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44">
              <w:r>
                <w:rPr>
                  <w:rStyle w:val="InternetLink"/>
                  <w:rFonts w:ascii="Times New Roman;sans-serif" w:hAnsi="Times New Roman;sans-serif"/>
                  <w:b w:val="false"/>
                  <w:color w:val="0000FF"/>
                  <w:sz w:val="20"/>
                  <w:u w:val="single"/>
                </w:rPr>
                <w:t>126</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47">
              <w:r>
                <w:rPr>
                  <w:rStyle w:val="InternetLink"/>
                  <w:rFonts w:ascii="Times New Roman;sans-serif" w:hAnsi="Times New Roman;sans-serif"/>
                  <w:b w:val="false"/>
                  <w:color w:val="0000FF"/>
                  <w:sz w:val="20"/>
                  <w:u w:val="single"/>
                </w:rPr>
                <w:t>Item 9A.</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47">
              <w:r>
                <w:rPr>
                  <w:rStyle w:val="InternetLink"/>
                  <w:rFonts w:ascii="Times New Roman;sans-serif" w:hAnsi="Times New Roman;sans-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47">
              <w:r>
                <w:rPr>
                  <w:rStyle w:val="InternetLink"/>
                  <w:rFonts w:ascii="Times New Roman;sans-serif" w:hAnsi="Times New Roman;sans-serif"/>
                  <w:b w:val="false"/>
                  <w:color w:val="0000FF"/>
                  <w:sz w:val="20"/>
                  <w:u w:val="single"/>
                </w:rPr>
                <w:t>127</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53">
              <w:r>
                <w:rPr>
                  <w:rStyle w:val="InternetLink"/>
                  <w:rFonts w:ascii="Times New Roman;sans-serif" w:hAnsi="Times New Roman;sans-serif"/>
                  <w:b w:val="false"/>
                  <w:color w:val="0000FF"/>
                  <w:sz w:val="20"/>
                  <w:u w:val="single"/>
                </w:rPr>
                <w:t>Item 9B.</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53">
              <w:r>
                <w:rPr>
                  <w:rStyle w:val="InternetLink"/>
                  <w:rFonts w:ascii="Times New Roman;sans-serif" w:hAnsi="Times New Roman;sans-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53">
              <w:r>
                <w:rPr>
                  <w:rStyle w:val="InternetLink"/>
                  <w:rFonts w:ascii="Times New Roman;sans-serif" w:hAnsi="Times New Roman;sans-serif"/>
                  <w:b w:val="false"/>
                  <w:color w:val="0000FF"/>
                  <w:sz w:val="20"/>
                  <w:u w:val="single"/>
                </w:rPr>
                <w:t>131</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56">
              <w:r>
                <w:rPr>
                  <w:rStyle w:val="InternetLink"/>
                  <w:rFonts w:ascii="Times New Roman;sans-serif" w:hAnsi="Times New Roman;sans-serif"/>
                  <w:b w:val="false"/>
                  <w:color w:val="0000FF"/>
                  <w:sz w:val="20"/>
                  <w:u w:val="single"/>
                </w:rPr>
                <w:t>Item 9C.</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56">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56">
              <w:r>
                <w:rPr>
                  <w:rStyle w:val="InternetLink"/>
                  <w:rFonts w:ascii="Times New Roman;sans-serif" w:hAnsi="Times New Roman;sans-serif"/>
                  <w:b w:val="false"/>
                  <w:color w:val="0000FF"/>
                  <w:sz w:val="20"/>
                  <w:u w:val="single"/>
                </w:rPr>
                <w:t>132</w:t>
              </w:r>
            </w:hyperlink>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59">
              <w:r>
                <w:rPr>
                  <w:rStyle w:val="InternetLink"/>
                  <w:rFonts w:ascii="Times New Roman;sans-serif" w:hAnsi="Times New Roman;sans-serif"/>
                  <w:b w:val="false"/>
                  <w:color w:val="0000FF"/>
                  <w:sz w:val="20"/>
                  <w:u w:val="single"/>
                </w:rPr>
                <w:t xml:space="preserve">Part III. </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2">
              <w:r>
                <w:rPr>
                  <w:rStyle w:val="InternetLink"/>
                  <w:rFonts w:ascii="Times New Roman;sans-serif" w:hAnsi="Times New Roman;sans-serif"/>
                  <w:b w:val="false"/>
                  <w:color w:val="0000FF"/>
                  <w:sz w:val="20"/>
                  <w:u w:val="single"/>
                </w:rPr>
                <w:t xml:space="preserve">Item 10.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2">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62">
              <w:r>
                <w:rPr>
                  <w:rStyle w:val="InternetLink"/>
                  <w:rFonts w:ascii="Times New Roman;sans-serif" w:hAnsi="Times New Roman;sans-serif"/>
                  <w:b w:val="false"/>
                  <w:color w:val="0000FF"/>
                  <w:sz w:val="20"/>
                  <w:u w:val="single"/>
                </w:rPr>
                <w:t>133</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5">
              <w:r>
                <w:rPr>
                  <w:rStyle w:val="InternetLink"/>
                  <w:rFonts w:ascii="Times New Roman;sans-serif" w:hAnsi="Times New Roman;sans-serif"/>
                  <w:b w:val="false"/>
                  <w:color w:val="0000FF"/>
                  <w:sz w:val="20"/>
                  <w:u w:val="single"/>
                </w:rPr>
                <w:t xml:space="preserve">Item 11.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5">
              <w:r>
                <w:rPr>
                  <w:rStyle w:val="InternetLink"/>
                  <w:rFonts w:ascii="Times New Roman;sans-serif" w:hAnsi="Times New Roman;sans-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65">
              <w:r>
                <w:rPr>
                  <w:rStyle w:val="InternetLink"/>
                  <w:rFonts w:ascii="Times New Roman;sans-serif" w:hAnsi="Times New Roman;sans-serif"/>
                  <w:b w:val="false"/>
                  <w:color w:val="0000FF"/>
                  <w:sz w:val="20"/>
                  <w:u w:val="single"/>
                </w:rPr>
                <w:t>134</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8">
              <w:r>
                <w:rPr>
                  <w:rStyle w:val="InternetLink"/>
                  <w:rFonts w:ascii="Times New Roman;sans-serif" w:hAnsi="Times New Roman;sans-serif"/>
                  <w:b w:val="false"/>
                  <w:color w:val="0000FF"/>
                  <w:sz w:val="20"/>
                  <w:u w:val="single"/>
                </w:rPr>
                <w:t xml:space="preserve">Item 12.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6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68">
              <w:r>
                <w:rPr>
                  <w:rStyle w:val="InternetLink"/>
                  <w:rFonts w:ascii="Times New Roman;sans-serif" w:hAnsi="Times New Roman;sans-serif"/>
                  <w:b w:val="false"/>
                  <w:color w:val="0000FF"/>
                  <w:sz w:val="20"/>
                  <w:u w:val="single"/>
                </w:rPr>
                <w:t>135</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71">
              <w:r>
                <w:rPr>
                  <w:rStyle w:val="InternetLink"/>
                  <w:rFonts w:ascii="Times New Roman;sans-serif" w:hAnsi="Times New Roman;sans-serif"/>
                  <w:b w:val="false"/>
                  <w:color w:val="0000FF"/>
                  <w:sz w:val="20"/>
                  <w:u w:val="single"/>
                </w:rPr>
                <w:t xml:space="preserve">Item 13.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7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71">
              <w:r>
                <w:rPr>
                  <w:rStyle w:val="InternetLink"/>
                  <w:rFonts w:ascii="Times New Roman;sans-serif" w:hAnsi="Times New Roman;sans-serif"/>
                  <w:b w:val="false"/>
                  <w:color w:val="0000FF"/>
                  <w:sz w:val="20"/>
                  <w:u w:val="single"/>
                </w:rPr>
                <w:t>136</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74">
              <w:r>
                <w:rPr>
                  <w:rStyle w:val="InternetLink"/>
                  <w:rFonts w:ascii="Times New Roman;sans-serif" w:hAnsi="Times New Roman;sans-serif"/>
                  <w:b w:val="false"/>
                  <w:color w:val="0000FF"/>
                  <w:sz w:val="20"/>
                  <w:u w:val="single"/>
                </w:rPr>
                <w:t xml:space="preserve">Item 14.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74">
              <w:r>
                <w:rPr>
                  <w:rStyle w:val="InternetLink"/>
                  <w:rFonts w:ascii="Times New Roman;sans-serif" w:hAnsi="Times New Roman;sans-serif"/>
                  <w:b w:val="false"/>
                  <w:color w:val="0000FF"/>
                  <w:sz w:val="20"/>
                  <w:u w:val="single"/>
                </w:rPr>
                <w:t>Principal Accountant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74">
              <w:r>
                <w:rPr>
                  <w:rStyle w:val="InternetLink"/>
                  <w:rFonts w:ascii="Times New Roman;sans-serif" w:hAnsi="Times New Roman;sans-serif"/>
                  <w:b w:val="false"/>
                  <w:color w:val="0000FF"/>
                  <w:sz w:val="20"/>
                  <w:u w:val="single"/>
                </w:rPr>
                <w:t>137</w:t>
              </w:r>
            </w:hyperlink>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77">
              <w:r>
                <w:rPr>
                  <w:rStyle w:val="InternetLink"/>
                  <w:rFonts w:ascii="Times New Roman;sans-serif" w:hAnsi="Times New Roman;sans-serif"/>
                  <w:b w:val="false"/>
                  <w:color w:val="0000FF"/>
                  <w:sz w:val="20"/>
                  <w:u w:val="single"/>
                </w:rPr>
                <w:t xml:space="preserve">Part IV. </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80">
              <w:r>
                <w:rPr>
                  <w:rStyle w:val="InternetLink"/>
                  <w:rFonts w:ascii="Times New Roman;sans-serif" w:hAnsi="Times New Roman;sans-serif"/>
                  <w:b w:val="false"/>
                  <w:color w:val="0000FF"/>
                  <w:sz w:val="20"/>
                  <w:u w:val="single"/>
                </w:rPr>
                <w:t xml:space="preserve">Item 15.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80">
              <w:r>
                <w:rPr>
                  <w:rStyle w:val="InternetLink"/>
                  <w:rFonts w:ascii="Times New Roman;sans-serif" w:hAnsi="Times New Roman;sans-serif"/>
                  <w:b w:val="false"/>
                  <w:color w:val="0000FF"/>
                  <w:sz w:val="20"/>
                  <w:u w:val="single"/>
                </w:rPr>
                <w:t>Exhibits and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80">
              <w:r>
                <w:rPr>
                  <w:rStyle w:val="InternetLink"/>
                  <w:rFonts w:ascii="Times New Roman;sans-serif" w:hAnsi="Times New Roman;sans-serif"/>
                  <w:b w:val="false"/>
                  <w:color w:val="0000FF"/>
                  <w:sz w:val="20"/>
                  <w:u w:val="single"/>
                </w:rPr>
                <w:t>138</w:t>
              </w:r>
            </w:hyperlink>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83">
              <w:r>
                <w:rPr>
                  <w:rStyle w:val="InternetLink"/>
                  <w:rFonts w:ascii="Times New Roman;sans-serif" w:hAnsi="Times New Roman;sans-serif"/>
                  <w:b w:val="false"/>
                  <w:color w:val="0000FF"/>
                  <w:sz w:val="20"/>
                  <w:u w:val="single"/>
                </w:rPr>
                <w:t xml:space="preserve">Item 16. </w:t>
              </w:r>
            </w:hyperlink>
          </w:p>
        </w:tc>
        <w:tc>
          <w:tcPr>
            <w:tcW w:w="7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283">
              <w:r>
                <w:rPr>
                  <w:rStyle w:val="InternetLink"/>
                  <w:rFonts w:ascii="Times New Roman;sans-serif" w:hAnsi="Times New Roman;sans-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83">
              <w:r>
                <w:rPr>
                  <w:rStyle w:val="InternetLink"/>
                  <w:rFonts w:ascii="Times New Roman;sans-serif" w:hAnsi="Times New Roman;sans-serif"/>
                  <w:b w:val="false"/>
                  <w:color w:val="0000FF"/>
                  <w:sz w:val="20"/>
                  <w:u w:val="single"/>
                </w:rPr>
                <w:t>142</w:t>
              </w:r>
            </w:hyperlink>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286">
              <w:r>
                <w:rPr>
                  <w:rStyle w:val="InternetLink"/>
                  <w:rFonts w:ascii="Times New Roman;sans-serif" w:hAnsi="Times New Roman;sans-serif"/>
                  <w:b w:val="false"/>
                  <w:color w:val="0000FF"/>
                  <w:sz w:val="20"/>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a significant long-term competitive advantage through our partnership with Carvana Group, LLC, or Carvana, and other partnerships;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supply chain disruptions, increasing inflation,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reduce operating losses and extend our capital runway;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accuracy and efficiency of our telematics and behavioral data, and our ability to gather and leverage additional data;</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manage the growth of our business;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lack of operating history and ability to attain profitability;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deliver a vertically integrated customer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protect our intellectual property and any costs associated therewith;</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an autonomous claims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meet risk-based capital requirements;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the benefits anticipated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stay in compliance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laws or regulations, or changes in the interpretation of laws or regulations by a regulatory authority, specific to the use of artificial intelligence;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defend against cybersecurity threats and prevent,or recover from,a security breach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interest rates on our available cash and our ability to maintain compliance with our Term Loan (as defined herein);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proper and effective internal control over financial reporting and remediate existing deficiencies;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continue to meet Nasdaq listing standards;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growth rates of the markets in which we compete.</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“Root,” “the Company,” “we,” “our” and “us” refer to Root, Inc. and its subsidiaries.</w:t>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Investing in our Class A common stock involves numerous risks and uncertainties, as more fully described below. You should read these risks before you invest in our Class A common stock. In particular, risks associated with our business include, but are not limited to, the following: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a history of net losses and could continue to incur substantial net losses in the future. We may not be able to grow or achieve or maintain profitability in the future.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lose our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require additional capital to support business growth or to satisfy our regulatory capital and surplus requirements, and this capital might not be available on acceptable terms, if at all.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fail to maintain an effective partnership channel offering, including our embedded insurance product and/or fail to perform under the associated commercial arrangements.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expansion within the United States will subject us to additional regulatory approvals and costs and risks, and our plans may not be successful.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technology platform may not operate properly or as we expect it to operate.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Regulators may limit our ability to develop or implement our telematics-based pricing model and/or may eliminate or restrict the confidentiality of our proprietary technology.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subject to full scope financial examinations by state insurance regulatory authorities in Ohio, where each of our domestic insurance company subsidiaries is domiciled, which could result in adverse examination findings and necessitate remedial 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exposure to loss activity and regulation may be greater in states where we currently have most of our customers: Texas, Georgia and Colorado.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Data security breaches, or real or perceived errors, failures or bugs in our or our vendors’ systems or our website or app could impair our operations, compromise our confidential information or our customers’ personal information, damage our reputation and brand, and harm our business and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brand may not become as widely known or accepted as incumbents’ brands or the brand may become tarnished.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New legislation or legal requirements may affect how we communicate with our customers, which could have an adverse effect on our business model,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Denial of claims or our failure to accurately and timely pay claims could materially and adversely affect our business, financial condition, results of operations, and prospects.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Unexpected increases in the frequency or severity of claims, as well as increasing costs of social inflation, may adversely affect our results of operations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Failure to maintain our risk-based capital at the required levels could adversely affect our ability to maintain regulatory authority to conduct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be unable to prevent, monitor or detect fraudulent activity, including policy acquisitions or payments of claims that are fraudulent in nature, or fraud that may be perpetrated by employees or external parties.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rely on our mobile app to execute our business strategy. Government regulation of the internet and the use of mobile apps in particular is evolving, and unfavorable changes could seriously harm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intellectual property rights are valuable, and any inability to protect them could reduce the value of our products, services and brand.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utilize our net operating loss carry forwards may be limited.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insurance business, including the market for automobile, renters and homeowners insurance, is historically cyclical in nature, and we may experience periods with excess underwriting capacity and unfavorable premium rates, which could adversely affect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Retention of business written by us or through our Texas county mutual arrangement could expose us to potential losses. Further, reinsurance may be unavailable at current levels and prices, subjects us to counterparty risk and may not be adequate to protect us against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inability to access our cash accounts or to convert investments into cash on favorable terms when we desire to do so may materially and adversely affect our business, cash flows and capital position.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to meet the continued listing requirements of Nasdaq could result in delisting of our Class A common stock, which in turn would negatively affect the price of our Class A common stock and limit investors’ ability to trade in our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Term Loan includes a floating interest rate that exposes us to interest rate risk, and the terms of our Term Loan place restrictions on our operating and financial flexibility. Our failure to comply with covenants contained in the Term Loan may result in acceleration of our repayment obligations, which could harm our liquidity, financial condition, operating results, business and prospects and cause the price of our Class A common stock to decline.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PART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is a technology insurance company revolutionizing personal insurance with a pricing model based upon fairness and a modern customer experience. We operate primarily a direct-to-consumer model in which currently we acquire the majority of our customers through mobile apps. We are also focused on expanding our partnership channel, where we acquire customers using various means, including through embedded integrations.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focus is on the U.S. auto insurance market, and we have built a company that recognizes each individual is unique and puts customers in control, rewarding them for their actions. For centuries, traditional insurance companies have grouped people into risk pools and long relied on the ‘law of large numbers’ to produce acceptable pricing on an aggregate basis. Fairness at the individual level has been largely ignored. Root is different—we use technology to measure risk based on individual driving performance, prioritizing fairness to the customer. The way we design and deliver insurance is not a simple tweak to the traditional insurance model—we are fundamentally reinventing insurance through technology, data science and a deliberate focus on the customer.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more than $300 billion U.S. auto insurance market is ripe for disruption. Traditional methods of pooled risk assessment are not personalized and inherently less precise given individual behavioral data is underutilized or not measured as a component of the insurance risk assessment process. We believe traditional systems and processes have become outdated and are increasingly disconnected from the needs of consumers. Our initial focus on auto insurance was motivated by how well-suited we believe the product to be for fundamental improvement through technology. We believe Root is the innovator to drive this transformation.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insurance is required for the vast majority of drivers in the U.S. and we believe it is typically the first insurance policy purchased by consumers. As a result, our auto-first strategy establishes the foundation for an expansive lifetime relationship with the opportunity to add other personal insurance lines as customer needs evolve.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Root advantage is derived from our technology-enabled approach to the customer lifecycle. We engage with customers at a point of high intent across various channels, offer a product with significant ease of use and utilize data science to fairly price our policies. As a full-stack insurance carrier, we have the infrastructure and flexibility to design products and distribute, underwrite, administer and pay claims. Our model, supported by proprietary technology, allows us to be more adaptive across the value chain, provides complete design and feature discretion and we believe frees us to innovate and iterate more quickly than any of our major competitors. We view this flexibility as absolutely critical to introducing new capabilities, responding to macroeconomic trends, reinforcing customer centricity and driving growth. In practice this means we own and control an end-to-end insurance experience and have near complete operating autonomy, subject to regulation, to grow our business.</w:t>
      </w:r>
    </w:p>
    <w:p>
      <w:pPr>
        <w:pStyle w:val="TextBody"/>
        <w:bidi w:val="0"/>
        <w:spacing w:lineRule="auto" w:line="288" w:before="0" w:after="180"/>
        <w:jc w:val="left"/>
        <w:rPr/>
      </w:pPr>
      <w:r>
        <w:rPr>
          <w:rFonts w:ascii="Times New Roman;sans-serif" w:hAnsi="Times New Roman;sans-serif"/>
          <w:b w:val="false"/>
          <w:color w:val="000000"/>
          <w:sz w:val="20"/>
          <w:shd w:fill="FFFFFF" w:val="clear"/>
        </w:rPr>
        <w:t>As we mature as an insurance company a more significant portion of our premiums are expected to be earned from customer renewals. Renewal premiums, referring to premiums from a customer’s second term and beyond, have lower loss ratios as compared to new premiums in the customer’s first term. As a young insurance company, our results are disproportionately weighed toward new customers. Our data- and technology-driven approach allows for rapid response to macroeconomic trends through quick, appropriate rate actions. This, paired with our ability to continually enhance underwriting and segmentation capabilities has contributed to improvement in our gross loss ratios. Over time we anticipate, consistent with industry norms, that our portfolio will mature and a greater proportion of our premiums will be from customer renewals. We expect this growing proportion of renewal premiums will bring an increasing mix of lower loss ratio premiums and premiums with lower associated acquisition costs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Insurance is one of the oldest and largest markets in the world, touching every corner of the world and protecting many of our most important assets. Our primary addressable market today is U.S. personal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insurance. This market exceeded $428 billion in 2022 premiums and has grown at a 4% compound annual growth rate, or CAGR, since 2016.</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century, there have been only a few waves of innovative disruption within insurance. Perhaps the most disruptive was the advent of the internet as a distribution channel in the late 1990s, which redefined the personal auto insurance market. We believe the next technology-driven structural shift is underway—a large secular shift in distribution with embedded insurance and a holistic change in the way insurance is priced and delivered.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innovation has been slow within the property and casualty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enable us to bypass these challenges.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Our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Customer Experience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meet customers where they are with a user-friendly interface and convenient, efficient experience. This is the mantra that drives our user experience and our business model. App installation and initial engagement are designed to be intuitive so that customers can easily identify the coverage they need.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mobile engagement extends across the customer experience and value chain: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Engagement.</w:t>
      </w:r>
      <w:r>
        <w:rPr>
          <w:color w:val="000000"/>
        </w:rPr>
        <w:t xml:space="preserve"> </w:t>
      </w:r>
      <w:r>
        <w:rPr>
          <w:rFonts w:ascii="Times New Roman;sans-serif" w:hAnsi="Times New Roman;sans-serif"/>
          <w:b w:val="false"/>
          <w:color w:val="000000"/>
          <w:sz w:val="20"/>
        </w:rPr>
        <w:t xml:space="preserve">Many of our new customers come through our two distribution channels: direct and partnerships. We continue to diversify the ways we reach our customers. We believe meeting customers in the moment of need creates better customer engagement and access to a differentiated customer base.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Profile Creation.</w:t>
      </w:r>
      <w:r>
        <w:rPr>
          <w:color w:val="000000"/>
        </w:rPr>
        <w:t xml:space="preserve"> </w:t>
      </w:r>
      <w:r>
        <w:rPr>
          <w:rFonts w:ascii="Times New Roman;sans-serif" w:hAnsi="Times New Roman;sans-serif"/>
          <w:b w:val="false"/>
          <w:color w:val="000000"/>
          <w:sz w:val="20"/>
        </w:rPr>
        <w:t>The Root app is available for both iOS and Android operating systems making it available to 99% of U.S. smartphone users. By simply scanning a driver’s license, a prospective customer can nearly complete a profile, part of an on-boarding process that takes mere minutes and minimal keyboard interaction.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Underwriting</w:t>
      </w:r>
      <w:r>
        <w:rPr>
          <w:rFonts w:ascii="Times New Roman;sans-serif" w:hAnsi="Times New Roman;sans-serif"/>
          <w:b w:val="false"/>
          <w:color w:val="000000"/>
          <w:sz w:val="20"/>
        </w:rPr>
        <w:t>. The test drive is a key component of the underwriting process. A two-to-four week test drive gathers and analyzes data from smartphone sensors measuring braking, consistency, turning, time of day and other performance and contextual data. While telematics is core to our value proposition, some of our customers have an immediate insurance need, and as such, we are able to utilize traditional underwriting variables at policy origination, when needed. With this approach, we are able to leverage both traditional underwriting variables and the power of our proprietary telematics platform to offer the best price to our best customers. As more data is collected, the predictive power of our telematics scores increases, allowing for further segmentation advances. For this reason, we view telematics as a better and more fair approach to underwriting.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Coverage Selection. </w:t>
      </w:r>
      <w:r>
        <w:rPr>
          <w:rFonts w:ascii="Times New Roman;sans-serif" w:hAnsi="Times New Roman;sans-serif"/>
          <w:b w:val="false"/>
          <w:color w:val="000000"/>
          <w:sz w:val="20"/>
        </w:rPr>
        <w:t>As part of profile setup, our app pre-populates with a customer’s owned automobiles and existing or prior coverage terms, allowing easy and seamless selection of policy terms.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Policy Management.</w:t>
      </w:r>
      <w:r>
        <w:rPr>
          <w:color w:val="000000"/>
        </w:rPr>
        <w:t xml:space="preserve"> </w:t>
      </w:r>
      <w:r>
        <w:rPr>
          <w:rFonts w:ascii="Times New Roman;sans-serif" w:hAnsi="Times New Roman;sans-serif"/>
          <w:b w:val="false"/>
          <w:color w:val="000000"/>
          <w:sz w:val="20"/>
        </w:rPr>
        <w:t xml:space="preserve">Once bound, customers can perform all policy management functions seamlessly from our app, including profile or coverage adjustments, obtaining proof of insurance or chatting with a bot or human.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Claims.</w:t>
      </w:r>
      <w:r>
        <w:rPr>
          <w:color w:val="000000"/>
        </w:rPr>
        <w:t xml:space="preserve"> </w:t>
      </w:r>
      <w:r>
        <w:rPr>
          <w:rFonts w:ascii="Times New Roman;sans-serif" w:hAnsi="Times New Roman;sans-serif"/>
          <w:b w:val="false"/>
          <w:color w:val="000000"/>
          <w:sz w:val="20"/>
        </w:rPr>
        <w:t xml:space="preserve">We make it easy to file a claim and track processing status through to settlement via the app, allowing us to pay out claims rapidly.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Auto insurance is a product most people use every day, reinforcing the importance of our mobile-first engagement strategy for both customer experience and data collection.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opportunistically distribute largely through the mobile, web and partnership channels. Mobile is the fastest growing retail channel in the United States, as customers spend less time in front of computers and utilize smart phones for more convenient shopping. To further differentiate access to our products we are continuing to develop our partnership channel. The partnership channel emphasizes ease of use and minimal separation between intent and bind while leveraging the platforms of our strategic partners. We believe that through a diverse and opportunistic customer acquisition strategy we can meet customers at a high point of intent.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Direct: </w:t>
      </w:r>
      <w:r>
        <w:rPr>
          <w:rFonts w:ascii="Times New Roman;sans-serif" w:hAnsi="Times New Roman;sans-serif"/>
          <w:b w:val="false"/>
          <w:i/>
          <w:color w:val="000000"/>
          <w:sz w:val="20"/>
        </w:rPr>
        <w:t>seamless experiences driven by performance marketing and organic traffic connecting consumers directly to the product.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Digital</w:t>
      </w:r>
      <w:r>
        <w:rPr>
          <w:rFonts w:ascii="Times New Roman;sans-serif" w:hAnsi="Times New Roman;sans-serif"/>
          <w:b w:val="false"/>
          <w:color w:val="000000"/>
          <w:sz w:val="20"/>
        </w:rPr>
        <w:t xml:space="preserve">. Our direct digital channel is designed to drive volume by efficiently capturing high-intent customers. We accomplish this by meeting our customers within platforms they use extensively such as Google or select marketplace platforms where consumers are actively shopping for insurance. We deploy dynamic data science models to optimize targeting and bidding strategies across our digital platforms, aligning customer acquisition cost to expected lifetime value of the potential customer.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Referral</w:t>
      </w:r>
      <w:r>
        <w:rPr>
          <w:rFonts w:ascii="Times New Roman;sans-serif" w:hAnsi="Times New Roman;sans-serif"/>
          <w:b w:val="false"/>
          <w:color w:val="000000"/>
          <w:sz w:val="20"/>
        </w:rPr>
        <w:t xml:space="preserve">. We encourage our existing customers to spread our value proposition. Our referral channel compensates existing customers who refer new customers who subsequently complete a test drive. This channel facilitates community-based growth to those who value our fair and transparent approach to insurance. This is our lowest cost acquisition channel and an important aspect of our ongoing distribution strategy.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Channel Media</w:t>
      </w:r>
      <w:r>
        <w:rPr>
          <w:rFonts w:ascii="Times New Roman;sans-serif" w:hAnsi="Times New Roman;sans-serif"/>
          <w:b w:val="false"/>
          <w:color w:val="000000"/>
          <w:sz w:val="20"/>
        </w:rPr>
        <w:t xml:space="preserve">. We build consideration and drive intent through household-level targeted media channels including direct mail, billboards, and regional TV and radio. We utilize these media channels to drive awareness when launching in new markets and to actively target customers in active states.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Partnerships:</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i/>
          <w:color w:val="000000"/>
          <w:sz w:val="20"/>
        </w:rPr>
        <w:t>wide array of integrations, spanning early-stage marketing partnerships through fully embedded user experiences</w:t>
      </w:r>
      <w:r>
        <w:rPr>
          <w:rFonts w:ascii="Times New Roman;sans-serif" w:hAnsi="Times New Roman;sans-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Embedded</w:t>
      </w:r>
      <w:r>
        <w:rPr>
          <w:rFonts w:ascii="Times New Roman;sans-serif" w:hAnsi="Times New Roman;sans-serif"/>
          <w:b w:val="false"/>
          <w:color w:val="000000"/>
          <w:sz w:val="20"/>
        </w:rPr>
        <w:t>. We build upon the mobile and web customer experiences of distribution partners to reach a captive customer base with an embedded solution. With varying levels of connectivity, including our proprietary and fully-integrated application programming interfaces, or APIs, we are able to engage high intent prospective customers in contextually relevant third-party applications. While these partnerships take time to onboard and launch, over the long term, we believe our flexible technology stack offers a seamless bind experience, creating a differentiated customer experience in this channel. We expect increased penetration of this channel over time as we seek to grow embedded relationships with other technology companies with relevant customer bases.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Agency</w:t>
      </w:r>
      <w:r>
        <w:rPr>
          <w:rFonts w:ascii="Times New Roman;sans-serif" w:hAnsi="Times New Roman;sans-serif"/>
          <w:b w:val="false"/>
          <w:color w:val="000000"/>
          <w:sz w:val="20"/>
        </w:rPr>
        <w:t xml:space="preserve">. We continue to invest in a product to bring the speed and ease of our technology to the independent agency channel. This channel provides access to a larger demographic of customers and we believe it has staying power. We developed an efficient quote and bind process through our agent platform that enables simplified distribution from agents to their customers. The technology driven approach makes this an appealing platform for agents and an efficient acquisition channel for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acquisition costs can vary by channel mix, by state, due to seasonality, or due to the competitive environment. We believe our distribution channels allow us to efficiently acquire customers in a contextually relevant, data-centric way. Our marketing spend is grounded in a disciplined data-science approach, targeting customers that align with our lifetime expected returns. Furthermore, we continue to invest in the technology and data science behind our distribution with A/B tests, dynamic bidding models, and rapid updates and iterations, supporting differentiated cost of customer acquisition over the long term.</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Capital Management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full-stack insurance company, we operate a “capital-efficient” business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prioritize revenue and targeted profitable customer growth while also maintaining regulatory capital requirements; (2) source efficient capital to support customer acquisition costs; and (3) mitigate impact of large losses or tail events. Together these strategies serve to maximize efficient use of capital as we grow.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Reinsurance is a cornerstone of our capital management framework. We utilize a wholly-owned, Cayman Islands-based reinsurer, Root Reinsurance Company, Ltd., or Root Re. We also have multiple strategic business partnerships with leading global reinsurers who offer us reinsurance solutions.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Behavioral Data and Proprietary Telematics Models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technology to measure risk based on transparent collection and analysis of individual driving performance, which we believe is the most powerful predictor of accidents and the leading variable in our underwriting model. By collecting and synthesizing massive amounts of rich, sensory behavioral data across thousands of driving variables, including distracted driving, we strive to price auto insurance based more on causality than correlation. While the notion of telematics has been around for decades, only recently has mobile technology made the concept adoptable at large scale.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hallmark of our data advantage is our integrated set of actual claims and associated proprietary telematics, which we believe to be one of the largest in the market. We match miles tracked, on an individual basis, with actual claims and identify a set of driving performance factors that cause, or on a relative basis are more likely to cause, accidents. We use an internally developed claims infrastructure to capture comprehensive structured data, contributing to our data advantage when combined with telematics experience and iterated over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model revolves around using integrated data and technology to create a pricing advantage through segmentation and has allowed us to respond quickly to macroeconomic trends. The data we collect feeds proprietary risk scoring models which assist us in identifying what we believe to be the riskiest drivers on the road, a group we have elected not to quote, thus avoiding a risk segment that is up to two times more likely to get in an accident than our average targeted customer. By removing this high-risk segment, we can price the remaining population more fairly, resulting in a stronger conversion of customers whose behavioral data indicates lower risk than a market-standard demographic rating alone. This data advantage, combined with the machine learning approach to core elements of our technology stack, allows us to quickly identify loss trends and reflect this information faster in our rate filings. The resulting segmentation benefit allows for a better risk profile of our book over time, while delivering consistent value to our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the following strategies to continue penetrating the more than $300 billion U.S. auto insurance market. In the near term, our primary focus is to execute on the auto opportunity at hand. In the longer-term, we plan to continue to develop additional growth opportunities through the expansion of product offerings.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Execute the Auto Opportunity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Better, fairer pricing.</w:t>
      </w:r>
      <w:r>
        <w:rPr>
          <w:color w:val="000000"/>
        </w:rPr>
        <w:t xml:space="preserve"> </w:t>
      </w:r>
      <w:r>
        <w:rPr>
          <w:rFonts w:ascii="Times New Roman;sans-serif" w:hAnsi="Times New Roman;sans-serif"/>
          <w:b w:val="false"/>
          <w:color w:val="000000"/>
          <w:sz w:val="20"/>
        </w:rPr>
        <w:t>We will never stop working to improve our ability to segment risk by increasing the influence of behavioral factors in our underwriting and pricing models. Our primary tool for improvement is to continue applying data science. Over time, we hope that we can replace most correlation-related inputs to our pricing model, such as credit scores, with a fully behavioral pricing model. We would view this as the ultimate achievement in customer transparency and fairness.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Enhance marketing efficiency. </w:t>
      </w:r>
      <w:r>
        <w:rPr>
          <w:rFonts w:ascii="Times New Roman;sans-serif" w:hAnsi="Times New Roman;sans-serif"/>
          <w:b w:val="false"/>
          <w:color w:val="000000"/>
          <w:sz w:val="20"/>
        </w:rPr>
        <w:t xml:space="preserve">We will continue to enhance the efficiency of our marketing spend through data science and dynamic bidding and targeting strategies.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Expand partnership experience.</w:t>
      </w:r>
      <w:r>
        <w:rPr>
          <w:color w:val="000000"/>
        </w:rPr>
        <w:t xml:space="preserve"> </w:t>
      </w:r>
      <w:r>
        <w:rPr>
          <w:rFonts w:ascii="Times New Roman;sans-serif" w:hAnsi="Times New Roman;sans-serif"/>
          <w:b w:val="false"/>
          <w:color w:val="000000"/>
          <w:sz w:val="20"/>
        </w:rPr>
        <w:t xml:space="preserve">We plan to continue to leverage our technology to embed with strategic partners. Integrating our auto insurance solutions into partner platforms allows us to engage prospective customers at contextually relevant times. These arrangements involve varying degrees of integration, including our fully integrated embedded product utilized with some partners, such as Carvana. Over time, we expect increased penetration of this channel as we seek to partner across automotive, financial services and additional affinity channels, offering access to additional customer bases.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20"/>
        </w:rPr>
        <w:t xml:space="preserve">Grow national auto insurance presence. </w:t>
      </w:r>
      <w:r>
        <w:rPr>
          <w:rFonts w:ascii="Times New Roman;sans-serif" w:hAnsi="Times New Roman;sans-serif"/>
          <w:b w:val="false"/>
          <w:color w:val="000000"/>
          <w:sz w:val="20"/>
        </w:rPr>
        <w:t>We will continue to focus on domestic growth by diversifying distribution channels, becoming active in more states while improving brand awareness. In instances where a prospective customer solicits a quote in a state where we do not currently underwrite, we retain their contact information, with permission, and re-engage upon state entry.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selectively pursue additional investments, acquisitions and partnerships to accelerate any of our growth and profitability objectives or to improve our competitive positioning within existing and new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portfolio of investable assets is primarily held in cash, cash equivalents and available-for-sale fixed maturity securities, including U.S. Treasury securities, corporate debt securities, mortgage-backed securities, municipal securities and other debt obligations.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We set guidelines that provide for a well-diversified investment portfolio that is compliant with insurance regulations applicable to the states in which we operate. For further information, see Note 3, “Investments,” in the Notes to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insurance industry in which we operate is highly competitive. Many of our primary competitors have well-established national brands and market similar products. Our competitors include large national insurance companies such as Geico, Progressive and Allstate,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increased name recognition, higher financial ratings, greater resources, additional access to capital, and more lines of insurance coverage to offer. In particular, many of these competitors offer consumers the ability to purchase multiple other lines of insurance coverage and “bundle” them together into one policy and, in certain circumstances, include an umbrella liability policy for additional coverage at competitive prices. Moreover, as we expand into new lines of business and offer additional products, we could face intense competition from traditional insurance companies that are already established in such markets.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is based on many factors, including the reputation and experience of the insurer, coverages offered, pricing and other terms and conditions, customer service, size, and financial strength ratings, among other considerations. We believe that we compete favorably across many of these factors and have developed a platform and business model based on behavioral data collection and machine learning that will be difficult for incumbent insurance providers to emulate.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protections, we believe that factors such as the skills and ingenuity of our employees and the functionality and frequent enhancements to our platform are larger contributors to our success in the marketplace.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eight issued patents, six non-provisional patent applications and four continuation applications pending examination in the United States. We continually review our development efforts to assess the existence and patentability of new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trademark rights in our name, our logo, and other brand indicia, and have trademark registrations for select markets in the United States. We also have registered domain names for websites that we use in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For additional information, see the section titled “Risk Factors—Risks Related to Our Business—Our intellectual property rights are valuable, and any inability to protect them could reduce the value of our products, services and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People Team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technology company, we view talent as one of our differentiating factors. We believe our employees’ knowledge, skills, and the way they work provide a distinct competitive advantage allowing us to innovate, move with speed and bring subject matter expertise to the market for our customers and shareholders.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mission is to fundamentally reinvent insurance through a commitment to technology and data science. We aim to empower better lives through better insurance. Our team members achieve this mission with a focus on customer value, experimentation and invention, disciplined thinking, and operational excellence. These four principles form the basis of our management approach and performance review model, ensuring clear expectations, meaningful mentorship and powerful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create an empowering work environment and experience for each of our team members. We understand that a team with diverse backgrounds and perspectives delivers better insights and outcomes, enables innovation, and fosters a greater understanding of our customers. Our efforts to create a diverse and inclusive workspace, particularly in the tech sector, are focused on talent acquisition and development, education and training, feedback and collaboration, and strategic planning aimed at consistent growth.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680 full-time employees. None of our employees are represented by a labor union or covered by collective bargaining agreements. In 2023, we focused on retaining the talent required to execute our plan, improving our operating efficiency and operating costs, prioritizing our resources to further strengthen our pricing and underwriting foundation and continuing development and distribution of our insurance products.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Ethics and Company Values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applicable laws and regulations, our Code of Conduct, company values and policies provide the grounding for our ethical framework. Employees are encouraged to report any unusual behavior or any non-compliant activities through a variety of vehicles to include our anonymous reporting system. On an annual basis, we provide compliance training to, and require acknowledgement of our Code of Conduct and other key policies by, every employee. We strive to ensure our new employees know how and what to report. We have an open-door policy that allows employees to reach out to leaders, our People team, our Legal team, our Compliance team and/or Internal Audit teams to ensure that their concerns are communicated and addressed.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Hiring and Retaining Talent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continually working on building a culture of attraction and retention of key talent. We recruit nationally to attract the best talent to innovate and meet the needs of our customers in a multitude of ways. Our focus on employee engagement continues with employee surveys and feedback opportunities to create action plans to address needs. Our performance development process aims to ensure that employees receive timely and actionable feedback, enables performance improvement where necessary, and providing employees the opportunity to voice their career aspirations.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seek to provide competitive pay and benefits through a combination of fixed and variable compensation programs. We have set salary ranges, based on our defined competitive markets, and our annual short-term incentive and discretionary long-term incentive programs are aligned to each of our positions as we believe are appropriate. Our executives and senior leadership roles, along with several identified roles throughout the business participate in a long-term equity-based incentive program. We believe this strongly supports a long-term view and pay for performance that is aligned with our shareholders. Our benefit offering includes medical, dental, vision, prescription drug benefits along with a robust employee assistance program, life insurance, short- and long-term disability, paid time off and paid parental leave.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Insurance Regulation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insurance regulation in the jurisdictions in which we transact insurance through our licensed insurance carriers and producer subsidiaries in the United States. Insurance regulatory authorities have broad authority to regulate all aspects of an insurance carrier or producer’s business, including the powers to restrict or revoke licenses to transact business, and to levy fines and monetary penalties against insurers and insurance producers found to be in violation of applicable laws and regulations. Regulations to which our licensed insurance carriers and producer subsidiaries are subject include, but are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prior approval of transactions resulting in a change of “control” (as such term is defined under the Insurance Holding Company System Regulatory Act of Ohio, or the Ohio Holding Company Act);</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approval of policy forms and premiums;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approval of intercompany agreements;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statutory and risk-based capital solvency requirements, including the minimum capital and surplus our regulated insurance subsidiaries must maintain;</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establishing minimum reserves that insurance carriers must hold to pay projected insurance claims;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required participation by our regulated insurance subsidiaries in state guaranty funds;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type and concentration of our regulated insurance subsidiaries’ investments;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advertising and marketing of insurance;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adjustment and settlement of insurance claims;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use of rebates to induce a policyholder to purchase insurance;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sale, solicitation and negotiation of insurance;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restrictions on the sharing of insurance commissions and payment of referral fees;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prohibitions on the underwriting of insurance on the basis of race, sex, religion and other protected classes;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our ability to use telematics to underwrite and price insurance policies, particularly in California;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the ability of our regulated insurance subsidiaries to pay dividends to us or enter into certain related party transactions without prior regulatory approval;</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rules requiring the maintenance of statutory deposits for the benefit of policyholders;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privacy regulation and data security;</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regulation of corporate governance and risk management;</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periodic examinations of operations, finances, market conduct and claims practices; and</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required periodic financial reporting.</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U.S. territories. These laws and regulations are subject to change as state legislatures and regulatory agencies update their authority to address real and perceived issues and concerns. These laws and regulations are also subject to interpretation by courts. The National Association of Insurance Commissioners, or NAIC, and the National Council of Insurance Legislators, are the principal organizations tasked with establishing standards and best practices across the various states, the District of Columbia and five U.S. territories, and from time to time promulgate model rules and regulations that often are the basis for insurance rules and regulations adopted by such jurisdictions. While we currently operate in 34 states, we would need to obtain regulatory approval, including with respect to the regulations described above, before offering our products in new markets. We cannot predict precisely whether or when regulatory actions may be taken that could adversely affect us, the operations of our regulated insurance subsidiaries, or our ability to expand our operations into new markets. Interpretations by regulators may change and laws, regulations and interpretations may be applied with retroactive effect, particularly in areas such as accounting or reserve requirements.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Required Licensing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wholly-owned regulated U.S. insurance subsidiaries, Root Insurance Company and Root Property &amp; Casualty Insurance Company, or Root Property &amp; Casualty. Root Insurance Company, an Ohio-domiciled insurer, is admitted in the state of Ohio to transact certain lines of property and casualty insurance, maintains licenses to transact insurance in Alabama, Alaska, Arizona, Arkansas, California, Colorado, Connecticut, Delaware, District of Columbia, Florida, Georgia, Hawaii, Illinois, Indiana, Iowa, Kentucky, Louisiana, Maryland, Mississippi, Missouri, Montana, Nebraska, Nevada, New Hampshire, New Mexico, North Carolina, North Dakota, Oklahoma, Oregon, Pennsylvania, South Carolina, Tennessee, Texas, Utah, Virginia, Washington and West Virginia. Root Property &amp; Casualty is also domiciled in Ohio and licensed in all 50 states and the District of Columbia to transact certain lines of property and casualty insurance. Ohio is our primary state insurance regulator.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 reinsurance captive subsidiary, Root Re, domiciled in the Cayman Islands.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licensed insurance producer subsidiaries, Root Insurance Agency, LLC, Root Lone Star Insurance Agency, LLC, and Root Scout, LLC, must maintain an insurance producer license in every state in which they sell, solicit or negotiate insurance. Root Insurance Agency, LLC currently holds a resident insurance producer license in Ohio and a non-resident license in the District of Columbia and 45 states, which does not include California, Florida, Massachusetts and New York. Root Lone Star Insurance Agency, LLC currently holds a resident managing general agency license in Texas. Root Scout, LLC currently holds a resident insurance producer license in Ohio and a non-resident license in the District of Columbia, and the remaining 49 states.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regulators have broad authority to restrict or revoke licenses of insurance carriers and producers who are found to be in violation of any applicable laws and regulations. In addition, we must obtain additional regulatory approvals before offering our products in markets where we do not currently operate.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Licensing of Our 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of our employees who sell, solicit or negotiate insurance must be licensed and appointed insurance producers and must fulfill annual continuing education requirements. In certain states in which we operate, insurance claims adjusters are also required to be licensed and fulfill annual continuing education requirements.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Insurance Holding Company Regulation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ultimate controlling person in the “insurance holding company system” under the Ohio Holding Company Act, we are required to file annual enterprise risk reports, corporate governance disclosures and own risk solvency assessments with our domiciliary regulators. Moreover, in Ohio for example, any person divesting control of an insurer must provide 30 days’ notice to the regulator and the insurer.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Ohio Holding Company Act, all inter-affiliate transactions within a holding company system must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Department of Insurance, or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 of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Ohio Holding Company Act, a person must seek regulatory approval from the superintendent of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The superintendent of the DOI will grant approval of an application to acquire control of a domestic insurer unless, after a public hearing, the superintendent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 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Ohio Holding Company Act provides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titled “Risk Factors—Risks Related to Ownership of Our Class A Common Stock—Applicable insurance laws may make it difficult to effect a change of control.”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ORSA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Own Risk and Solvency Assessment, or ORSA, an insurance company with gross written and unaffiliated assumed premium of more than $500 million or that is part of an insurance group with gross 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Root Insurance Company became subject to ORSA in 2020 since it had gross written and unaffiliated assumed premium in excess of $500 million for that year and its first assessment was due prior to the end of fiscal year 2021. Root, Inc. filed its first ORSA summary report with the Ohio DOI on December 30, 2021, and has filed annually thereafter.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Restrictions on Paying Dividends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the Code as: (i) any dividend or distribution of cash or other property whose fair market value, together with that of other dividends or distributions made within the preceding twelve months, exceeds the greater of (a) ten percent of an insurer’s policyholder surplus as of December 31 of the preceding year, or (b) an insurer’s net income for the twelve-month period ending December 31 of the preceding year or (ii) any dividend or distribution paid by an insurer from a source other than earned surplus. As of December 31, 2023, neither Root Insurance Company nor Root Property &amp; Casualty were permitted to pay any dividends to us without approval of the superintendent of the supervisory DOI. See the section titled “Risk Factors—Risks Related to Our Business— Failure to maintain our risk-based capital at the required levels could adversely affect our ability to maintain regulatory authority to conduct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domestic insurance subsidiaries are required to hold admitted assets as reserves to cover projected losses under its policies, in accordance with actuarial principles. In accordance with NAIC’s property and casualty statement instructions, they must submit an annual Statement of Actuarial Opinion from a qualified actuary appointed by the Company, certifying that its reserves are reasonable.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Risk-Based Capital and Group Capital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domestic insurance subsidiaries are required to maintain minimum levels of risk-based capital to support their overall business operations and minimize the risk of insolvency. State insurance regulators use risk-based capital to set capital requirements, based on the size and degree of risk taken by the insurer, taking into account various risk factors including asset risk, credit risk, underwriting risk, and interest rate risk. As the ratio of an insurer’s total adjusted capital and surplus decreases relative to its risk-based capital, the risk-based capital laws provide for increasing levels of regulatory scrutiny and intervention.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Ohio has adopted the model legislation promulgated by the NAIC pertaining to risk-based capital and requires annual reporting by insurers to confirm that the insurers are meeting their risk-based capital requirements. Insurers falling below a risk-based capital threshold may be subject to varying degrees of regulatory action.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When total adjusted capital falls below 70%, a mandatory control event is triggered which results in the supervisory DOI placing the insurance company in receivership and assuming control of the operations of the insurer. Root, Inc. entered into an agreement with the Superintendent of Insurance, State of Ohio, or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 As of December 31, 2023, both Root Insurance Company and Root Property &amp; Casualty’s risk-based capital levels are above any of these regulatory action level thresholds and our guaranteed threshold.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NAIC has developed a group capital calculation covering all entities in our insurance company group for us in solvency monitoring activities. The group capital calculation provides regulators with an additional analytical tool for conducting supervisory activities. As of December 31, 2023, Ohio adopted the model legislation, which will become effective June 1, 2025 for those insurance holding company systems that do not write business outside the United States, like us.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Hazardous Financial Conditions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Periodic Examinations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insurance subsidiaries are subject to on-site visits and financial and/or market conduct examinations by state insurance regulatory authorities. We are subject to financial condition examinations in any state in which one of our insurance company subsidiaries is domiciled. Root Insurance Company and Root Property &amp; Casualty are domiciled in Ohio and subject to a financial condition examination by the Ohio DOI at least every three to five years, during which the Ohio DOI reviews the Company’s financials, governance, and operations, including its relationships and transactions with affiliates. Root Insurance Company’s first financial condition examination by the Ohio DOI covered the period of January 1, 2015 through December 31, 2019 and was completed on July 8, 2021. Root Property &amp; Casualty, which was redomiciled to Ohio in 2023, was initially a Delaware-domiciled insurer, and was subject to a similar financial condition examination by the Delaware DOI, which covered the period of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2016 through December 31, 2020 and was completed on February 2, 2022. The Ohio DOI and Delaware DOI examination reports are available to the public and contain no formal findings. Additionally, no financial statement adjustments were required as a result of the Ohio DOI and the Delaware DOI examinations. Currently, Root Insurance Company and Root Property &amp; Casualty are undergoing a financial condition examination led by the Ohio DOI.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market conduct examinations in any state in which one of our insurance subsidiaries issues policies. Market conduct examinations examine an insurer’s conduct toward policyholders, including complaint handling, marketing, claims, policyholder notice, rate and form filing, and customer service. These examinations can result in fines and other monetary penalties, as well as other regulatory orders requiring remedial, injunctive, or other corrective action. As of December 31, 2023, Root Insurance Company is undergoing market conduct examinations conducted by the Maryland Insurance Administration and the Colorado Division of Insurance, with a market conduct examination conducted by the California Department of Insurance having recently begun in 2024 and a market conduct examination conducted by the Pennsylvania Insurance Department tentatively scheduled to begin in early 2024. The Virginia Bureau of Insurance examination of Root concluded in 2023, and in addition to requiring the company to undertake remedial action, the Bureau fined the company for various market conduct violations for an immaterial amount. In addition, Root Re, our Cayman Islands subsidiary, is subject to inspections by the Cayman Islands Monetary Authority, or CIMA, on an ad-hoc basis and typically every three to five years. To date no inspection has occurred.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Statutory Accounting Principles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licensed insurance carrier’s financial statements must be completed in accordance with statutory accounting principles, or SAP. SAP was developed by U.S.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Uniform statutory accounting practices are established by the NAIC and generally adopted by regulators in the various U.S. jurisdictions. These accounting principles and related regulations differ somewhat from generally accepted accounting principles in the United States, or GAAP, which are designed to measure a business on a going-concern basis. GAAP gives consideration to matching of revenue and expenses and, as a result, certain expenses are capitalized when incurred and then amortized over the life of the associated policies. Other assets such as goodwill are accounted for under GAAP financial statements but not SAP. As a result, the values for assets, liabilities, and equity reflected in financial statements prepared in accordance with GAAP may be different from those reflected in financial statements prepared under SAP.</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Credit for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Company is currently party to a number of reinsurance agreements under which it has ceded a portion of the risk it is insuring to various reinsurers. State insurance laws permit U.S.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admitted assets as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 We ensure that all of Root Insurance Company’s reinsurers qualify for credit for reinsurance so that Root Insurance Company is able to take full financial statement credit for its reinsurance.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Rate Regulation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Most states require personal property and casualty insurers to file rating plans, policy or coverage forms, and other information with the state’s regulatory authority. In certain cases, such rating plans, policy forms, or both must be approved prior to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products on file and approved in the following states: Alabama, Arizona, Arkansas, California, Colorado, Connecticut, Delaware, Florida, Georgia, Illinois, Indiana, Iowa, Kansas, Kentucky, Louisiana, Maryland, Mississippi, Missouri, Montana, Nebraska, Nevada, New Mexico, North Dakota, Ohio, Oklahoma, Oregon, Pennsylvania, South Carolina, Tennessee, Texas, Utah, Virginia, West Virginia, and Wisconsin.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 time after the insurer begins using them. Under all three types of rating laws, the regulator has the authority to disapprove a rate filing.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insurer’s ability to adjust its rates in response to competition or to changing costs depends on an insurer’s ability to demonstrate to the regulator that its rates or proposed rating plan meet the requirements of the rating laws. In those states that significantly restrict an insurer’s discretion in selecting the business that it wants to underwrite, an insurer can manage its risk of loss by charging a rate that reflects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personal lines insurance industry comes under pressure from state regulators, legislators, and special-interest groups to reduce, freeze, or set rates at levels that do not correspond with our analysis of underlying costs and expenses. In particular, auto insurers have come under increasing pressure because of inflation and other macroeconomic factors. Whether this pressure continues to exist depends on the macroeconomic environment. State regulators may interpret existing law or rely on future legislation or regulations to impose new restrictions that adversely affect profitability or growth. We cannot predict with precision the impact on our business of possible future legislative and regulatory measures regarding insurance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Insolvency Funds and Associations, Guarantee Funds, Assigned Risk Plans, Mandatory Pools, and Insurance Facilities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     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Investment Regulation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Company and Root Property &amp; Casualty are subject to Ohio’s rules and regulations governing the investment of its assets. These laws generally require that an insurance company invest in a diverse portfolio and limit their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Trade Practices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 policyholders above certain de minimis amounts. We set business conduct policies and provide training to make our employee-agents and other customer service personnel aware of these prohibitions and require them to conduct their activities in compliance with these statutes.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Unfair Claims Practices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Insurance companies, third-party administrators and individual claims adjusters are generally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settlement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Commission Sharing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Data Privacy and Cybersecurity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privacy policies to all of its applicants and policyholders and must also provide either an opt-in or opt-out, depending on the state, to the sharing of non-public personal information with unaffiliated third parties. Under these rules and regulations, insurance companies and producers must also establish a program of administrative, technical, and physical safeguards designed to address the security and confidentiality of customer information, protect against anticipated threats or hazards to the security or integrity of customer information, and protect against unauthorized access to or use of customer information that could result in substantial harm or inconvenience to the customers.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collection and processing of personal information makes us subject to the California Consumer Privacy Act, or CCPA, which took effect on January 1, 2020, and the California Privacy Rights Act, or CPRA, which took effect on January 1, 2023. The CCPA and CPRA give California residents the right to access and require deletion of certain of their personal information, opt out of certain personal information sharing, and receive detailed disclosures about how their personal information is used and shared. The CCPA and CPRA exempt certain information that is collected, processed, sold or disclosed pursuant to the California Financial Information Privacy Act, the Gramm-Leach-Bliley Act or the federal Driver’s Privacy Protection Act, which also apply to us. However, the definition of “personal information” in the CCPA is broad and encompasses other information that we process beyond the scope of this exemption.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multiple state requirements pertaining to how insurers handle their customers’ non-public personal information. For example, similar to California, Virginia provides that their residents have, with respect to certain of their personal data, the right to access their personal data, request corrections or deletions, or make amendments. Virginia law further requires us to notify their residents, which we do through our privacy policy, that personal information may be obtained from persons other than the individual customer, and that this information, as well as other personal information, may be disclosed to third parties without their consent. Moreover, we must notify these individuals that their financial information may be disclosed to affiliates and non-affiliates as permitted by law. We also, in a similar manner, provide residents of Montana notice that their state allows its residents to request a record of any disclosures of their medical information during the preceding three years and notice of information collected by our websites, including social media pages we control and through applications and software applications Root makes available for customers’ use. In addition to these states, Nevada provides its residents with the right to request a website operator not to sell their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in response to the growing threat of cyber-attacks in the insurance industry, several jurisdictions have adopted, or have begun to consider adopting, cybersecurity regulations that establish requirements and standards for safeguarding non-public personal information, including the New York Department of Financial Services. In 2017, the NAIC adopted the Insurance Data Security Model Law, intended to serve as model legislation for states to enact in order to govern the cybersecurity and data protection practices of insurers, insurance agents, and other licensed entities registered under state insurance laws. A number of states have adopted versions of the Insurance Data Security Model Law, each with a different effective date. Additional state laws impose notification requirements in the event of cybersecurity breaches affecting their residents. Root takes steps to comply with applicable cybersecurity regulations, but the patchwork nature of the laws in this area currently can make it more costly and difficult to ensure compliance.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Federal Regulation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U.S. Department of the Treasury by the Dodd-Frank Act in July 2010 to monitor and coordinate the regulation of the insurance industry across the United States.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FIO has limited direct regulatory authority over insurance companies or other insurance industry participants, it does represent the United States on prudential aspects of international insurance matters, including at the International Association of Insurance Supervisors, or IAIS. In addition, the FIO serves as an advisory member of the Financial Stability Oversight Council, or FSOC, assists the Secretary of the U.S. Department of the Treasury with administration of the Terrorism Risk Insurance Program, monitors trends in the insurance industry and advises the secretary of the U.S. Department of the Treasury on important national and international insurance matters. The FIO has the ability to make a recommendation to the FSOC to designate an insurer as “systemically significant,” subjecting the insurer to regulation by the Federal Reserve as a bank holding company, which could lead to higher capital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OFAC has imposed civil penalties on persons, including insurance and reinsurance companies, arising from violations of its economic sanctions program.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Available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information about Root, Inc., including our Corporate Governance Guidelines and our Code of Business Conduct and Ethics, can be found at ir.joinroot.com under the “Governance” tab by selecting “Documents &amp; Charters.” We will post on our website any amendments to, or waivers from, our Code of Business Conduct and Ethics requiring disclosure under applicable rules within four business days of the amendment or waiver. Charters for the Audit, Risk and Finance Committee, Compensation Committee, and Nominating and Governance Committee are also available at this location. Root, Inc. uses its website, ir.joinroot.com, as a channel for routine distribution of important information, including news releases and other investor communications. Our Annual Report on Form 10-K, Quarterly Reports on Form 10-Q and Current Reports on Form 8-K, as well as any amendments and exhibits to those reports, are available free of charge through our website as soon as reasonably practicable after the reports are filed with or furnished to the SEC. These documents are also available in hard copy, free of charge, by contacting our Investor Relations office. Additionally, the SEC maintains a website (www.sec.gov) that contains the reports, proxy statements and information statements, and other information regarding issuers that file or furnish electronically with the SEC. In addition, our website allows investors and other interested persons to sign up to automatically receive email alerts when we post news releases and financial information on our website. Information contained on our website is not incorporated into this Annual Report on Form 10-K or other securities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certain risk factors that could affect our business, financial position and results of operations. Although the risks are organized by headings and each risk is described separately, many of the risks are interrelated. The risks that we have highlighted in the following section of this report are not the only ones that we face. Our business involves various risks and uncertainties as well as those associated with the general business and insurance industry environments.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financial condition, results of operations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and could continue to incur substantial net losses in the future. We may not be able to grow or achieve or maintain profitability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on an annual basis since our incorporation in 2015, and we may incur significant net losses in the future. We incurred net losses of $147.4 million, $297.7 million and $521.1 million for the years ended December 31, 2023, 2022 and 2021, respectively. We had an accumulated loss of $1,715.2 million and $1,567.8 million as of December 31, 2023 and December 31, 2022,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driver of our losses to date is our loss ratios associated with accidents by our customers. As a newer and historically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we expect a greater proportion of all customers will be renewal customers. Establishing adequate premium rates is necessary, together with investment income, if any, to generate sufficient revenue to offset losses, loss adjustment expenses, or LAE, and other costs. When we do not accurately assess the risks that we underwrite, the premiums that we charge may not be adequate to cover our losses and expenses, which adversely affects our results of operations and our profitability.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expect accumulated net loss to continue to increase as we continue to make investments in the development and expansion of our business. Expenses in the areas of building embedded products, telematics, digital marketing, brand advertising, consumer-facing technologies, core insurance operations services and lines of insurance not presently offered by Root contribute to net losses. We have in the past encountered, and may continue to encounter, unforeseen or unpredictable factors, including elevated operating expenses, complications or delays, or other losses (for example, litigation losses), which have and may in the future result in increased costs, contributing to our net losses and impacting our ability to grow. It is difficult to predict the size and growth rate of our market, demand for our services and success of current or potential future competitors and our investments to grow our business may not result in increased or sufficient revenue or growth for several years or at all. Additionally, we will continue to incur significant expenses in connection with the repayment of the outstanding principal and accrued interest on our term loan, and we will also incur significant legal, accounting and other expenses as a public company.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limited operating history makes it difficult to evaluate our current business and our future prospects. While our revenue has grown in some recent periods and contracted in others, our historic growth rate may not be sustainable. With changes to our focus areas of growth, our historic growth rates should not be considered indicative of future performance, and we may not realize sufficient revenue to achieve or maintain profitability. Revenue growth rates may slow in future periods due to a number of reasons. We may choose to preserve capital, change our focus areas of growth, or encounter unforeseen or unpredictable factors, which may result in increased operating expenses, other losses, complications or delays slowing demand for our service, increasing competition, a decrease in the growth of our overall market, and our failure to capitalize on growth opportunities or the maturation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business. If we fail to manage our losses or to grow our revenue sufficiently to keep pace with our investments and other expenses, our business will be seriously harmed and we may not achieve or maintain profitability in future periods.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lose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lose customers, our value will diminish. In addition, we may fail to accurately predict risk segmentation of new customers or potential customers, which could also reduce our profitability. While our loss performance has generally improved over time, loss performance is influenced by a number of factors, including inflation, and as more customers renew their policies and remain policyholders for longer, a future loss of customers could lead to higher loss ratios or loss ratios that cease to decline, which would adversely impact our profitability. Further, our ability to attract and retain customers depends, in part, on our ability to successfully expand geographically, grow our business in the markets we currently serve, expand into new lines of business and offer additional products beyond automobile, renters and homeowners insurance. Expanding into new geographic markets takes time, places us in unfamiliar competitive environments, requires us to navigate and comply with extensive regulations and may occur more slowly than we expect or than it has occurred in the past.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In particular, many of our competitors offer consumers the ability to purchase multiple types of insurance coverage and “bundle” them together into one policy and, in certain circumstances, include an umbrella liability policy for additional coverage at competitive prices. As we expand into new lines of business and offer additional products, we could face intense competition from traditional insurance companies that are already established in such markets.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model and technology are still nascent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insurance regulation could limit our ability to introduce new product offerings. New insurance products could take an extended amount of time to be approved by regulatory authorities or may not be approved at all. If we fail to penetrate new vertical markets successfully, our revenue may grow at a slower rate than we anticipate, and our business, results of operations and financial condition could be materially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invested in growth strategies by utilizing unique customer value propositions, differentiated product offerings and distinctive advertising campaigns. In addition, we have invested in and are actively attempting to expand our partnership channel, including our embedded insurance offering. If we are unsuccessful through these strategies in generating new business, retaining a sufficient number of customers or retaining or acquiring key relationships, our ability to maintain or increase premiums written or the ability to sell our products could be adversely impacted. Because of the competitive nature of the insurance industry, there can be no assurance that we will continue to compete effectively within our industry, or that competitive pressures will not have a material effect on our business, results of operations or financial condition. If we fail to remain competitive on customer experience, pricing, and insurance coverage options, our ability to grow our business may also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are many other factors that could negatively affect our ability to maintain or grow our customer base, including if: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fail to offer new and competitive products, or fail to maintain or obtain regulatory approvals necessary for expansion into new markets or in relation to our products (such as underwriting and rating requirements);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fail to realize profits, retain customers, contract with additional partners to utilize products, or achieve other benefits related to our partnerships, including our embedded insurance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fail to effectively use search engines, social media platforms, digital app stores, content-based online advertising, and other online sources for generating traffic to our website and our mobile app;</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digital platform experiences disruptions; technical or other problems frustrate the customer experience, particularly if those problems prevent us from generating quotes or paying claims in a fast and reliable manner; we fail to provide effective updates to our existing products or to keep pace with technological improvements in our industry; or customers have difficulty installing, updating or otherwise accessing our app or website on mobile devices or web browsers as a result of actions by us or third parties;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we suffer reputational harm to our brand including from negative publicity, whether accurate or inaccurate;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customers are unable or unwilling to adopt or embrace new technology or the perception emerges that purchasing insurance products online is not as effective as purchasing those products through traditional offline methods;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experience cybersecurity events or are unable to address customer concerns regarding the content, privacy, and security of our digital platform.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overcome these challenges could impair our ability to attract new customers and retain existing customers and could have a material adverse effect on our business, operating results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business growth or to satisfy our regulatory capital and surplus requirements, and this capital might not be available on acceptable terms, if at all.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growth and may require additional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Further, if the trading price of our Class A common stock remains depressed or declines further, the potential magnitude of this dilution will increase.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 acquiring “control” of our company under applicable insurance laws and regulations. Such regulatory requirements may require potential investors to disclose their organizational structure and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as well as require managing partners, directors and/or senior officers to submit biographical affidavits which may deter investment in our company.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are restricted by covenants in our Term Loan (as defined herein). These covenants restrict, among other things, our ability to incur additional debt without lender consent or grant liens over our assets, which may limit our ability to obtain additional funds.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could be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or use driving behavior data and utilize telematics. If legislation were to restrict our ability to collect driving behavior data, it could impair our capacity to underwrite insurance cost effectively, negatively impacting our revenue and earnings. In addition, if federal, state or international regulators were to determine that the type of data we collect, the process we use for collecting this data or how we use it unfairly discriminates against a protected class of people, regulators could move to prohibit or restrict our collection or use of this data.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Due to Proposition 103 in California, we are currently limited in our ability to use telematics data beyond miles-driven to underwrite insurance, including data on how the car is driven. This has significantly hindered our ability to offer cost-competitive insurance policies in California and could impede our ability to offer insurance policies in other states if they were to pass similar laws or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 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governs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driver data, particularly through driver’s smartphones, such legislation could have a material adverse effect on our business, financial condition or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regulators have expressed interest in the use of external data sources, algorithms and/or predictive models in insurance underwriting or rating. Specifically, regulators have raised questions about the potential for unfair discrimination and lack of transparency associated with the use of external consumer data. A determination by federal or state regulators that the data points we collect and the process we use for collecting data unfairly discriminates against a protected class of people could subject us to fines and other sanctions, including, but not limited to, disciplinary action, revocation and suspension of licenses, regulatory fines and other sanctions, and withdrawal of product forms. Any such event could, in turn, materially and adversely affect our business, financial condition, results of operations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Regulators may also require us to disclose the external data we use, algorithms and/or predictive models prior to approving our underwriting models and rates. Such disclosures could put our intellectual property at risk.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existing laws, future laws, and evolving attitudes about privacy protection may impair our ability to collect, use, and maintain data points of sufficient type or quantity to develop and train our algorithms. If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laws or regulations were enacted federally or in a large number of states in which we operate, it could impact the integrity and quality of our pricing and underwriting processes.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fail to maintain an effective partnership channel offering, including our embedded insurance product and/or fail to perform under the associated commercial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commercial agreement with Carvana on October 1, 2021, in which the parties agreed to develop an integrated automobile insurance solution for Carvana’s online car buying platform, and we pay commissions to Carvana for insurance policies purchased by Carvana customers. The commercial agreement includes exclusivity rights to offer automobile insurance on Carvana’s platform, and we will partner exclusively with Carvana for an enterprise total loss replacement vehicle solution. In addition, we are a party to and are pursuing commercial arrangements with other potential partners with varying levels of integration, including utilization of an embedded insurance offering. If we or our commercial counterparties, including Carvana, are unable to satisfy obligations under commercial arrangements, if we are unable to maintain effective partnership arrangements, including an embedded insurance product, if we are unable to contract with additional partners to utilize these products, or if our partners experience difficulty with their businesses or if they or we are unable to attract insurance customers, that could have a material and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attract consumers to our website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our expenses could rise if we have to pay a higher price for such listings or if the alternatives we find are more expensive, or we could lose consumers and traffic to our website, any of which could have a material adverse effect on our business, results of operations and financial condition. For free search listings, if search engines on which we rely for algorithmic listings modify their algorithms, our websites may appear less prominently or not at all in search results, which could result in reduced traffic to our websites, and fewer new customers.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are likely to suffer. In addition, if our online display advertisements are no longer effective or are not able to reach certain consumers due to consumers’ use of ad-blocking software, our business and operating results could suffer.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would mandate annual disclosure to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(including in 2023), competition for limited and/or high-value advertising space from our competitors or other companies can result in increases in the costs we incur in our marketing efforts. These increases to our customer acquisition costs depend on a number of factors outside of our control and can negatively affect our business and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of our insurance products depends on our ability to cultivate and maintain cost-effective and otherwise satisfactory relationships with digital app stores, in particular, those operated by Google and Apple. As we grow, we may struggle to maintain cost-effective marketing strategies, and our customer acquisition costs could rise substantially. Furthermore, because many of our customers access our insurance products through a mobile app, we depend on the Apple App Store and the Google Play Store to distribute our mobile app.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terms of service and policies governing the operating system platforms on which our mobile app runs and the application stores through which we distribute our mobile app, such as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how that data is used and shared, and limit how mobile app publishers advertise online.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limitations on our ability to collect, use or share telematics and other data derived from customer activities on smartphones, as well as new technologies that block our ability to collect, use or share such data, could significantly diminish the value of our platform and have an adverse effect on our ability to generate revenue.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or blockages on our ability to collect, use or share data derived from use of our mobile app may also restrict our ability to analyze such data to facilitate our product improvement, research and development and advertising activities. For example, in 2021, Apple implemented a requirement for applications using its mobile operating systems to obtain an end-user’s permission to track them or access their device’s advertising identifier for advertising and advertising measurement purposes. These and other restrictions that have been or could be implemented in the future could adversely affect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and financial condition could be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one of the factors we use to evaluate our customer satisfaction and market position is our Apple App Store ratings. This rating, however, may not be a reliable indicator of our customer satisfaction relative to other companies who are rated on the Apple App Store since, to date, we have received a fraction of the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reviews of some of the companies we benchmark against, and thus our number of positive reviews may not be as meaningful.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expansion within the United States will subject us to additional regulatory approvals and costs and risks, and our plans may not be successful. </w:t>
      </w:r>
    </w:p>
    <w:p>
      <w:pPr>
        <w:pStyle w:val="TextBody"/>
        <w:bidi w:val="0"/>
        <w:spacing w:lineRule="auto" w:line="288" w:before="0" w:after="180"/>
        <w:jc w:val="left"/>
        <w:rPr/>
      </w:pPr>
      <w:r>
        <w:rPr>
          <w:rFonts w:ascii="Times New Roman;sans-serif" w:hAnsi="Times New Roman;sans-serif"/>
          <w:b w:val="false"/>
          <w:color w:val="000000"/>
          <w:sz w:val="20"/>
        </w:rPr>
        <w:t>Our success depends in significant part on our ability to expand into additional markets in the United States. We currently hold Certificates of Authority in</w:t>
      </w:r>
      <w:r>
        <w:rPr>
          <w:color w:val="000000"/>
          <w:shd w:fill="FFFFFF" w:val="clear"/>
        </w:rPr>
        <w:t xml:space="preserve"> </w:t>
      </w:r>
      <w:r>
        <w:rPr>
          <w:rFonts w:ascii="Times New Roman;sans-serif" w:hAnsi="Times New Roman;sans-serif"/>
          <w:b w:val="false"/>
          <w:color w:val="000000"/>
          <w:sz w:val="20"/>
          <w:shd w:fill="FFFFFF" w:val="clear"/>
        </w:rPr>
        <w:t>50 s</w:t>
      </w:r>
      <w:r>
        <w:rPr>
          <w:rFonts w:ascii="Times New Roman;sans-serif" w:hAnsi="Times New Roman;sans-serif"/>
          <w:b w:val="false"/>
          <w:color w:val="000000"/>
          <w:sz w:val="20"/>
        </w:rPr>
        <w:t xml:space="preserve">tates and the District of Columbia and operate in </w:t>
      </w:r>
      <w:r>
        <w:rPr>
          <w:rFonts w:ascii="Times New Roman;sans-serif" w:hAnsi="Times New Roman;sans-serif"/>
          <w:b w:val="false"/>
          <w:color w:val="000000"/>
          <w:sz w:val="20"/>
          <w:shd w:fill="FFFFFF" w:val="clear"/>
        </w:rPr>
        <w:t xml:space="preserve">34 </w:t>
      </w:r>
      <w:r>
        <w:rPr>
          <w:rFonts w:ascii="Times New Roman;sans-serif" w:hAnsi="Times New Roman;sans-serif"/>
          <w:b w:val="false"/>
          <w:color w:val="000000"/>
          <w:sz w:val="20"/>
        </w:rPr>
        <w:t xml:space="preserve">of those states. We plan to have a presence in all 50 states and the District of Columbia, but cannot guarantee that we will be able to provide nationwide coverage on that timeline or at all. Generally, regulators in states in which our applications were withdrawn preferred that we seek approval at such time that we could demonstrate an underwriting profit and/or willingness to commit to a risk-based capital position greater than what had been required by the Ohio Department of Insurance, or the Ohio DOI.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seek to expand in the United States, we may incur significant operating expenses, including expenses in connection with securing applicable regulatory approvals, marketing, hiring additional personnel, engaging third-party service providers and other research and development costs. If we invest substantial time and resources to expand our operations while our revenues from those additional operations do not exceed the expense of establishing and maintaining them, or if we are unable to manage these risks effectively, our business, results of operations and financial condition could be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expansion may not be successful for a variety of reasons, including because of: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one or more states could revoke our license to operate, or implement additional regulatory hurdles that could preclude or inhibit our ability to obtain or maintain our license in such state;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failures in identifying and entering into joint ventures with strategic partners, or entering into joint ventures that do not produce the desired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challenges in, and the cost of, complying with various laws and regulatory standards, including with respect to the insurance business and insurance distribution, capital and outsourcing requirements, data privacy, tax and local regulatory restrictions;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difficulty in recruiting and retaining licensed, talented and capable employees;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competition from local incumbents that already own market share, better understand the local market, may market and operate more effectively and may enjoy greater local affinity or awareness;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differing demand dynamics, which may make our product offerings less successful;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limitations on the repatriation and investment of funds.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grow our geographic footprint or geographic growth occurs at a slower rate than expected, our business, results of operations and financial condition could be materially and adversely affected.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technology platform may not operate properly or as we expect it to operate.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unforeseen difficulties including material performance problems or undetected defects or errors. We may encounter technical obstacles, and it is possible that we may discover additional problems that prevent our technology from operating properly. If our platform does not function reliably, we may incorrectly select our customers, incorrectly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deny policyholder claims and become subject to liability. Additionally, technology platform errors may lead to unintentional bias and discrimination in the underwriting process, which could subject us to legal or regulatory liability and harm our brand and reputation. Any of these eventualities could result in a material adverse effect on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our telematics-based pricing model to be more fair to consumers, it may yield results that customers find unfair. For instance, we may quote certain drivers higher premiums than our competitors, if our model determines that the driver is higher risk even though their higher-risk driving has not resulted in a claim. Such perception of unfairness could negatively impact our brand and reputation.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Regulators may limit our ability to develop or implement our telematics-based pricing model and/or may eliminate or restrict the confidentiality of our proprietary technology.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which could negatively impact our competitive position and result in a material adverse effect on our business, results of operations, and financial condition. For example, California voters recently approved the California Privacy Rights and Enforcement Act, or the CPRA, which became effective January 1, 2023, and which affords California residents significantly more control over their personal information, which could require disclosure of certain business sensitive or confidential information depending on how the CPRA is interpreted and applied by the regulators. The CPRA and associated regulations could require disclosure of our proprietary technology, limit the effectiveness of our products and reduce demand for them through the broadly written, and anticipated broad interpretation, of the CPRA requirements and implementing regulations.</w:t>
      </w:r>
    </w:p>
    <w:p>
      <w:pPr>
        <w:pStyle w:val="TextBody"/>
        <w:bidi w:val="0"/>
        <w:spacing w:lineRule="auto" w:line="288" w:before="0" w:after="180"/>
        <w:jc w:val="left"/>
        <w:rPr/>
      </w:pPr>
      <w:r>
        <w:rPr>
          <w:rFonts w:ascii="Times New Roman;sans-serif" w:hAnsi="Times New Roman;sans-serif"/>
          <w:b/>
          <w:i/>
          <w:color w:val="000000"/>
          <w:sz w:val="20"/>
        </w:rPr>
        <w:t>We are subject to full scope financial examinations by state insurance regulatory authorities in Ohio, where each of our domestic insurance company subsidiaries is domiciled, which could result in adverse examination findings and necessitate remedial actions.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insurance regulators perform examinations of insurance companies under their jurisdiction to assess compliance with applicable laws and regulations, financial condition and the conduct of regulated activities at least every three to five years. Root Insurance Company is Ohio-domiciled and has completed its first financial examination with the Ohio DOI, which includes a review of the Company’s financials, governance, and operations, including its relationships and transactions with affiliates, and a specific examination of our pricing and underwriting methodologies and our regulatory capital, and is currently undergoing its second review. Similarly, Root Property &amp; Casualty is an Ohio-domiciled insurer and completed a similar financial examination by the Delaware DOI prior to its redomestication as an Ohio-domiciled insurer. It is also currently undergoing a financial examination with the Ohio DOI. If, as a result of ongoing or future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pursuant to an enforcement action or, in the case of regulatory capital, require us to maintain additional capital. The results of the examinations are a matter of public record, and our reputation may also be harmed by such penalties. For more information regarding our financial condition examinations, see the section titled “Periodic Examinations” in the “Insurance Regulation” section of Item 1.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market conduct examinations by state insurance regulatory authorities in any state in which our domestic insurance subsidiaries issue insurance policies, which could result in adverse examination findings and necessitate remedial actions.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domestic insurance subsidiaries are also subject to other investigations or inquiries, including market conduct examinations, in any state in which they issue policies. These examinations can result in fines and other monetary penalties, as well as other regulatory orders requiring remedial, injunctive, or other corrective action. For example, Root Insurance Company was subject to a market conduct examination by the Virginia State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Commission’s Bureau of Insurance, and in addition to requiring the company to undertake remedial action, the Bureau fined the company for various market conduct violations. Any regulatory or enforcement action or any regulatory order imposing remedial, injunctive, or other corrective action against us resulting from an examination could have a material adverse effect on our business, reputation, financial condition or results of operations. For more information regarding our previous and ongoing market conduct examinations, see the section titled “Periodic Examinations” in the “Insurance Regulation” section of Item 1 Business.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exposure to loss activity and regulation may be greater in states where we currently have most of our customers: Texas, Georgia and Colorado.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36.0% of our gross premiums written for the year ended December 31, 2023 originated from customers in Texas, Georgia and Colorado. As a result of this concentration, if a significant catastrophic event or series of catastrophic events occur, and cause material losses in Texas, Georgia or Colorado, our business, financial condition and results of operation could be materially adversely affected. Further, as compared to our competitors who operate on a wider geographic scale, any adverse changes in the regulatory environment affecting property and casualty insurance in Texas, Georgia or Colorado may expose us to more significant risks.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 Insurance companies are also subject to state-specific privacy laws governing the use of particular data. For instance, the Illinois Biometric Information Privacy Act regulates the use and storage of biometric data such as fingerprints in the insurance industry and requires the informed written consent from policyholders if the insurance company intends to collect or disclose their personal biometric identifiers.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Privacy and data security regulation in the United States is rapidly evolving. For example, existing laws, such as the CCPA, which became effective January 1, 2020, future laws, and evolving attitudes about privacy protection may impair our ability to collect, use, and maintain data points of sufficient type or quantity to develop and train our algorithms. The CCPA gives California residents expanded rights to access and require deletion of certain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CCPA’s restrictions on “sales” of personal information may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requirements of the CCPA expanded substantially in January 2023 as a result of California voters approving the CPRA in November 2020. The CPRA, effective January 1, 2023, gives California residents the ability to: limit use of precise geolocation information and other categories of information classified as “sensitive”; add e-mail addresses and passwords to the list of personal information that, if lost or breached, would entitle affected individuals to bring private lawsuits; and establish the California Privacy Protection Agency to implement and enforce the new law, as well as impose administrative fines. The effects of the CCPA, the CPRA, and other similar state or federal laws, are potentially significant and may require us to modify our data processing practices and policies, incur substantial compliance costs and subject us to increased potential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observers have noted that the CCPA and the CPRA could mark the beginning of a trend toward more stringent privacy legislation in the United States. There is also discussion in Congress of new comprehensive federal data protection and privacy laws to which we likely would be subject to if enacted. Until an overarching federal privacy law is passed, however, it is anticipated that individual states will continue to adopt or amend state laws and regulations governing data privacy and cybersecurity, which could increase the cost and complexity of our compliance efforts and could impact the integrity and quality of our pricing and underwriting processes.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At least 22 states have adopted the same or substantially similar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protecting their business and their customers from a data breach, to investigate data breaches and to notify regulators of a cybersecurity event. Some jurisdictions, such as Connecticut, Massachusetts, Nevada and California have enacted more generalized data security laws that apply to certain data that we process. Additionally, some of the enacted regulations have since been amended to expand and strengthen the established cybersecurity requirements in response to the evolving cybersecurity landscape. Although we take steps to comply with applicable cybersecurity regulations and data security laws, our failure to comply with new or existing cybersecurity regulations could result in material regulatory actions and other penalties. In addition, efforts to comply with new or existing cybersecurity regulations could impose significant costs on our business, which could materially and adversely affect our business, financial condition or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subject to the terms of our privacy policies, privacy-related disclosures, and contractual and other privacy-related obligations to our customers and other third parties. We have experienced cybersecurity attacks that have resulted in threat actors obtaining customer personal information and some of these events have caused us to incur losses, including regulatory penalties, and expend resources to modify our systems. Any failure or perceived failure by us or third parties we work with to comply with privacy policies, disclosures, and obligations to customers or other third parties, or privacy or data security laws may result in governmental or regulatory investigations, enforcement actions, regulatory fines, criminal compliance orders, litigation or public statements against us by consumer advocacy groups or others, and could cause customers to lose trust in us, all of which could be costly and have an adverse effect on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Data security breaches, or real or perceived errors, failures or bugs in our or our vendors’ systems or our website or app could impair our operations, compromise our confidential information or our customers’ personal information, damage our reputation and brand, and harm our business and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may contain or develop material errors, failures, vulnerabilities or bugs, particularly when new features or capabilities are released, and are subject to fraud, computer viruses or malicious code, phishing attacks, system intrusion, web application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shutdowns.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third parties may misappropriate our data through website scraping, bots or other means and aggregate this data on their websites with data from other companies. In addition, copycat websites or mobile apps may misappropriate data and attempt to imitate our brand or the functionality of our website or our mobile app. If we become aware of such websites or mobile apps, we intend to employ technological or legal measures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attempt to halt their operations.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services are provided through the Internet which increases our exposure to potential cybersecurity attacks. In addition, we utilize a workforce that is largely remote and may exacerbate exposure to cyber events. We have experienced cybersecurity threats to our information technology infrastructure and we have experienced cybersecurity attacks that have resulted in threat actors obtaining customer personal information, attempts to breach our systems, fraudulent activity and other similar incidents, and some of these events have caused us to incur losses, including regulatory penalties, and expend resources to modify our systems. We expect to continue to expend resources to address past incidents and future incidents if they occur. In addition, we utilize vendors (and our vendors utilize vendors), some of which have also experienced cybersecurity breaches.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Future threats could cause harm to our business and our reputation and challenge our ability to provide reliable service, as well as negatively impact our results of operations materially. Our insurance coverage may not be adequate to cover all the costs related to cybersecurity attacks or disruptions resulting from such events.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may be compromised as a result of computer malware, viruses, social engineering, ransomware attacks, credential stuffing attacks, hacking and cyberattacks, including by state-sponsored and other sophisticated organizations. Such incidents have become more prevalent in recent years. For example, attempts to fraudulently induce our personnel into disclosing usernames, passwords or other information that can be used to access our systems and the information in them have increased and could be successful. Cybersecurity incidents can also result from malfeasance of our personnel, theft, errors, data leaks, and security vulnerabilities or bugs in our website, mobile apps or the software or systems on which we rely. Cybersecurity incidents have in the past resulted in unauthorized access to certain personal information that we handle, and may in the future result in unauthorized, unlawful or inappropriate use, destruction or disclosure of, access to, or inability to access the sensitive, proprietary and confidential information that we handle. These incidents may remain undetected for extended periods of time.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 parties to provide critical services that help us deliver our solutions and operate our business. These third parties may support or operate critical business systems for us or store or process the same sensitive, proprietary and confidential information that we handle. They may not have adequate security measures and could experience a cybersecurity incident that compromises the confidentiality, integrity or availability of the systems they operate for us or the information they process on our behalf. Some of our vendors have experienced cybersecurity breaches. Such past or future occurrences could adversely affect our business to the same degree as if we had experienced these occurrences directly and we may not have recourse to the responsible third parties for any resulting liability that we incur.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many different cybercrime and hacking techniques and such techniques continue to evolve, and we may be unable to anticipate attempted security breaches, react to cybersecurity incidents in a timely manner or implement adequate preventative measures. 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against current or future security threats.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security breach or other cybersecurity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capital and resources to investigate and remedy the incident and prevent recurrence; and subject us to litigation, regulatory enforcement action, fines, penalties, and other liability, which could have a material adverse effect on our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condition and results of operations. Even if we take steps that we believe are adequate to protect us from cyber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In some cases, particularly in the case of websites or mobile apps operating outside of the United States,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brand may not become as widely known or accepted as incumbents’ brands or the brand may become tarnished.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brands that are well-recognized. As a newer entrant into the insurance market, we have spent, and expect that we will for the foreseeable future continue to spend, considerable amounts of money and 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could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While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and financial condition could be materially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highly skilled and experienced personnel and if we are unable to attract, retain or motivate key personnel or hire qualified personnel, our business may be seriously harmed. In addition, the loss of key senior management personnel could harm our business and future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largely depends on the talents and efforts of highly skilled individuals. Our future success depends on our continuing ability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We have implemented involuntary workforce reductions in the past, which may have harmed our reputation and relationship with our employees and may make it more difficult for us to recruit top talent, and we may implement workforce reductions in the future to support other business objectives. We have experienced the effects of the current competitive labor market and our workforce reductions and have responded by increasing wages and/or benefits in certain circumstances and provided cash and equity to certain employees in order to attract and retain them, all of which may continue to negatively impact our results of operations. Moreover, certain of our competitors or other insurance or technology businesses may seek to hire our employees. We cannot assure you that our cash and equity incentives and other compensation and benefits will provide adequate incentives to attract, retain and motivate employees in the future, particularly if the market price of our Class A common stock does not increase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declines further. If we do not succeed in attracting, retaining and motivating highly qualified personnel, our business may be seriously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our senior management, including Alexander Timm, our Chief Executive Officer.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and other key personnel, including as a result of our workforce reductions or our business results, we may not be able to successfully manage our business, meet competitive challenges or achieve our business objectives. Further, to the extent that our business grows, we will need to attract and retain additional qualified management personnel in a timely manner, and we may not be able to do so. Our future success depends on our continuing ability to identify, hire, develop, motivate, retain and integrate highly skilled personnel in all areas of our organization.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New legislation or legal requirements may affect how we communicate with our customers, which could have an adverse effect on our business model, financial condition, and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federal lawmakers and insurance regulators are focusing on the use of artificial intelligence broadly, including, in particular, concerns about transparency, deception, and fairness. For instance, on August 24, 2020, the NAIC adopted guiding principles on artificial intelligence developed by the NAIC’s AI Working Group to provide guidance to regulators on the use of artificial intelligence in the insurance industry, and on December 4, 2023, the NAIC issued a model bulletin on artificial intelligence, Use of Artificial Intelligence Systems by Insurers, which is intended to be used by state departments of insurance to set forth regulatory expectations as to how insurers should govern the development, acquisition, and use of artificial intelligence.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legislation regulating the use of artificial intelligence has been enacted in several states and has been proposed on the federal level.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California’s Bolstering Online Transparency Act, effective as of July 2019, makes it unlawful for any person to use a bot to communicate with a person in California online with the intent to mislead the other person about the bot’s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no assurances can be given that we will not be exposed to civil litigation or regulatory enforcement.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reducing the growth prospects of our business, and adversely affecting our financial condition and future cash flows.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Denial of claims or our failure to accurately and timely pay claims could materially and adversely affect our business, financial condition, results of operations, and prospects.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policies, we are required to accurately and timely evaluate and pay claims. Our ability to do so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marketplace. If our claims adjusters or third-party claims administrators are unable to effectively process our volume of claims, our ability to grow our business while maintaining high levels of customer satisfaction could be compromised, which in turn, could adversely affect our operating margins. Any failure to pay claims accurately or timely could also lead to regulatory and administrative actions or other legal proceedings and litigation against us, or result in damage to our reputation, any one of which could materially and adversely affect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Unexpected increases in the frequency or severity of claims, as well as increasing costs of social inflation, may adversely affect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experience volatility in claim frequency from time to time, and short-term trends may not continue over the longer term. Changes in claim frequency may result from changes in mix of business, miles driven, distracted driving, weather, pandemics, macroeconomic or other factors. A significant increase in claim frequency could have an adverse effect on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bodily injury claim severity are impacted by inflation in medical costs, litigation trends and precedents, regulation and the overall safety of automobile travel. Changes in auto property damage claim severity are driven primarily by inflation in the cost to repair or replace vehicles, including parts and labor rates, the mix of vehicles that are declared total losses, model year mix as well as used car values.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social inflation may materially and adversely affect our financial condition. Social inflation is a term used to describe how insurers’ costs may be increasing at a rate higher than other economic inflation, generally due to trends in increasing litigation costs brought by insureds and claimants seeking larger settlement amounts, as well as the proliferation of litigation-financing firms, the hiring of testifying expert witnesses, and the use of costly, sophisticated technology to aid trial presentations. Considered part of social inflation are nuclear verdicts, which are generally considered to be jury verdicts exceeding $10 million in punitive and compensatory awards and have recently become more common.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actuarial models for pricing and reserving typically include an expected level of inflation (including social inflation), unanticipated increases in claim severity can arise from events that are inherently difficult to predict such as inflationary shocks or surges in health care costs. Although we pursue various loss management initiatives to mitigate future increases in claim severity, there can be no assurances that these initiatives will successfully identify or reduce the effect of future increases in claim severity.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maintain our risk-based capital at the required levels could adversely affect our ability to maintain regulatory authority to conduct our business.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have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An insurer’s risk-based capital ratio measures the relationship between its total adjusted capital and its authorized control level risk-based capital.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insurer’s total adjusted capital falls below 70% of its authorized control level risk-based capital), an insurer’s primary regulator is required to take steps to place the insurer into receivership.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have disclosed to the Ohio DOI that certain of our ratios fall outside the usual range for one or more IRIS ratio factors. The Ohio DOI has acknowledged this and taken no regulatory action, although there can be no assurance that the Ohio DOI will not do so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could harm our business. The Ohio DOI has determined that our financial condition does meet certain of those standards and requires us to provide the Ohio DOI with monthly financial reports. The South Carolina Department of Insurance and the Florida Office of Insurance Regulation also require the provision of monthly financial reports.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Similarly, our wholly-owned, Cayman Islands-based captive reinsurer, Root Re, is subject to additional capital and other regulatory requirements imposed by the CIMA. Although these capital requirements are generally less constraining than U.S. capital requirements, failure to satisfy these requirements could result in regulatory actions from the CIMA or loss of or modification of Root Re’s Class B(iii) insurer license, which could adversely impact our ability to improve our overall capital efficiency and support our “capital-efficient” model.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newer entrant to the insurance industry, we may face additional capital and surplus requirements as compared to those of our larger and more established competitors. Failure to maintain adequate risk-based capital at the required levels could result in increasingly onerous reporting and examination requirements and could adversely affect our ability to maintain regulatory authority to conduct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unable to prevent, monitor or detect fraudulent activity, including policy acquisitions or payments of claims that are fraudulent in nature, or fraud that may be perpetrated by employees or external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by customers, purported customers and/or claimants have been relatively isolated, we cannot be certain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filed suit against a former senior marketing employee and other defendants to recover approximately $10 million of funds we believe were misappropriated, but there can be no guarantee that we will be able to recover any funds from such former employee or the other defendants. While we maintain insurance coverage to protect us against such loss, our coverage is less than the amount of that loss and may be insufficient or inadequate to cover future losses.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our mobile app to execute our business strategy. Government regulation of the internet and the use of mobile apps in particular is evolving, and unfavorable changes could seriously harm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mobile app to execute our business strategy. We are subject to general business regulations and laws as well as federal and state regulations and laws specifically governing the internet and the use of mobile apps in particular. Existing and future laws and regulations may impede the growth of the internet or other online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increase the cost of providing online services. These regulations and laws may involve taxes, tariffs, privacy and data security, anti-spam, content protection, electronic contracts and communications, electronic signatures and consents, consumer protection and social media marketing. It is at times not clear how existing laws governing issues such as property ownership, sales and other taxes and consumer privacy apply to the internet and the use of mobile apps in particular, as the vast majority of these laws were adopted prior to the advent of the internet and the use of mobile apps and do not contemplate or address the unique issues raised by the internet. It is possible that general business regulations and laws, or those specifically governing the internet and the use of mobile apps in particular, may be interpreted and applied in a manner that is inconsistent from one jurisdiction to another and may conflict with other rules or our practices. We cannot be sure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 or website by consumers and suppliers and may result in the imposition of monetary liability. We may also be contractually liable to indemnify and hold harmless third parties from the costs or consequences of non-compliance with any such laws or regulations.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intellectual property rights are valuable, and any inability to protect them could reduce the value of our products, services and brand.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trade secrets, trademarks, copyrights, patents, know-how, and other intellectual property rights are important assets for us, in the United States and other jurisdictions.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available. Also, the efforts we have taken to protect our intellectual property rights may not be sufficient or effective, especially in foreign jurisdictions, and any of our intellectual property rights may be challenged, which could result in them being narrowed in scope or declared invalid or unenforceable. Despite our efforts to protect our proprietary rights, there can be no assurance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could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and competitive position.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 In addition, other parties may independently develop similar or competing technologies designed around any patents or patent applications that we hold. Some of our products and technologies are not covered by any patent or patent application. A failure to timely seek patent protection on products or technologies generally precludes us from seeking future patent protection on these products or technologies.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hold various domain names relating to our brand, including root.com, joinroot.com, rootinsurance.com and root-enterprise.com. Failure to protect our domain names could adversely affect our reputation and brand and make it more difficult for users to find our website and our mobile app. We may be unable, without significant cost or at all, to prevent third parties from acquiring domain names that are similar to, infringe upon or otherwise decrease the value of our trademarks and other proprietary rights.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and financial condition.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assure you that these agreements will be effective in controlling access to, and use and distribution of, our products and proprietary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Further, these agreements do not prevent our competitors from independently developing technologies that are substantially equivalent or superior to our offerings.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Some of our products and services contain open source software, which may pose particular risks to our proprietary software, products, and services in a manner that could have a negative effect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financial condition and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Claims by others that we infringed proprietary technology or other intellectual property rights could harm our business.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intellectual property rights claims against us may become more frequent. From time to time, third parties have, and may in the future, assert claims of infringement of intellectual property rights against us. Although we believe that we have, and will likely in the future have, meritorious defenses, there can be no assurance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rights claim, we may have to seek out a license to continue operations found or alleged to violate such rights, which may not be available on favorable or commercially reasonable terms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our customers were to claim that the policies they purchased failed to provide adequate or appropriate coverage, we could face claims that could harm our business, results of operations and financial condition.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aim to provide adequate and appropriate coverage under each of our policies, customers could purchase policies that prove to be inadequate or inappropriate. If such customers were to bring a claim or claims alleging that we or our appointed insurance producers failed in their responsibilities to provide them with the type or amount of coverage that they sought to purchase, we could be found liable for amounts significantly in excess of the policy limit, resulting in an adverse effect on our business, results of operations and financial condition. While we maintain agents’ errors and omissions insurance coverage to protect us against such liability, such coverage may be insufficient or inadequate.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underwrite risks accurately or charge competitive yet profitable rates to our customers, our business, results of operations and financial condition will be adversely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as evaluated and curated by our technology-based pricing platform.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results of operations and our profitability.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could have a material adverse effect on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collect and properly analyze a substantial volume of data from our customers;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develop, test and apply appropriate actuarial projections and rating formulas;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review and evaluate competitive product offerings and pricing dynamics;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closely monitor and timely recognize changes in trends; and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project both frequency and severity of our customers’ losses with reasonable accuracy.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assurances that we will have success in implementing our pricing methodology accurately in accordance with our assumptions. Our ability to accurately price our policies is subject to a number of risks and uncertainties, including:</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insufficient or unreliable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incorrect or incomplete analysis of available data;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uncertainties generally inherent in estimates and assumptions;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failure to implement appropriate actuarial projections and rating formulas or other pricing methodologies;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incorrect or incomplete analysis of the competitive environment;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regulatory constraints on rate increases;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failure to accurately estimate investment yields and the duration of our liability for loss and LAE, as well as unanticipated court decisions, legislation or regulatory action.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address the potential inadequacy of our current business model, we may be compelled to increase the amount allocated to cover policy claims, increase premium rates or adopt tighter underwriting standards, any of which may result in a decline in new business and renewals and, as a result, could have a material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assessments and other surcharges from state guaranty funds, which may reduce our profitability.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statutory property and casualty guaranty fund assessments in many states in which we do business.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2023, the amounts we contributed to such funds were immaterial; however, as we enter new states the amount we are required to contribute may increase materially.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Maximum contributions required by law in any one year vary by state. We cannot predict with certainty the amounts of future assessments because they depend on factors outside our control, such as insolvencies of other insurance companies. Significant assessments due to a rise in insurance insolvencies could have a material adverse effect on our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Litigation and legal proceedings filed by or against us and our subsidiaries, including shareholder litigation related to the initial public offering, could have a material adverse effect on our business, results of operations and financial condition, and may divert management’s attention and resources away from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subject to allegations, and are party to litigation and legal proceedings relating to our business operations. Litigation and other proceedings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Members of the insurance industry are periodically the target of class action lawsuits and other types of litigation, some of which involve claims for substantial or indeterminate amounts, and the outcomes of which are unpredictable. We are currently defending a putative class action filed in Texas. Claims against insurers could be based on a variety of issues, including sale of insurance and claim settlement practices. In addition, because we employ a technology platform to collect customer data, it is possible that customers or consumer groups could bring individual or class action claims alleging that our methods of collecting data and pricing risk are impermissibly discriminatory. We cannot predict with any certainty whether we will be involved in such litigation in the future or what impact such litigation would have on our business. If we were to be involved in litigation and it was determined adversely, it could require us to pay significant damages or to change aspects of our operations, either of which could have a material adverse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on May 19, 2021, a purported class action complaint was filed against the Company and certain of its current officers and directors in the U.S. District Court for the Southern District of Ohio (Case No. 2:21-cv-01197) on behalf of certain Root shareholders alleging that defendants made false or misleading statements and omissions of purportedly material fact, in violation of Sections 10(b) and 20(a) of the Securities Exchange Act of 1934, as amended, or the Exchange Act, and Rule 10b-5 thereunder, and of Sections 11 and 15 of the Securities Act of 1933, or the Securities Act, in connection with and following the Company’s initial public offering. While this action was dismissed by the District Court, such dismissal has been appealed. 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Exchange Act and Rule 10b-5 thereunder, breached their fiduciary duties and/or aided and abetted the breach of fiduciary duties, were unjustly enriched, wasted corporate assets, and are liable under Section 11(f) of the Securities Act, in connection with and following the Company’s initial public offering. This litigation can subject us to substantial costs and divert resources and the attention of management from our business. If these claims are successful, our business could be seriously harmed. Even if the claims do not result in protracted litigation or are resolved in our favor, the time and resources needed to resolve them could divert our management’s resources and seriously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may be limited.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federal income tax net operating losses, or NOLs, of approximately $1,336.2 million available to offset our future taxable income, if any, prior to consideration of annual limitations that may be imposed under Section 382 of the Internal Revenue Code, or the Code, or otherwise. Of our federal NOLs, $662.4 million of losses will begin to expire in tax years 2035 through 2043 and $673.8 million of losses can be carried forward indefinitely.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non-P&amp;C NOL carryforwards in taxable years beginning after December 31, 2020, to 80% of taxable income. In addition, federal non-P&amp;C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when the NOLs are expected to be utilized. This limitation on use of NOLs may significantly impact our ability to utilize our NOLs to offset taxable income in the future.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Model and Industry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insurance business, including the market for automobile, renters and homeowners insurance, is historically cyclical in nature, and we may experience periods with excess underwriting capacity and unfavorable premium rates, which could adversely affect our business.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Retention of business written by us or through our Texas county mutual arrangement could expose us to potential losses.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retain risk for business underwritten by our insurance company subsidiaries, including business assumed through our Texas county mutual arrangement. The determination to retain risk by reducing the amount of external reinsurance, by being unwilling or unable to obtain reinsurance, or by not purchasing reinsurance for a particular risk, customer segment or niche, is based on a complex variety of factors, including market conditions, strategy, pricing, availability of reinsurance, our capital levels, loss experience and tolerance. Historically, we have utilized reinsurance to expand our capacity to write more business than our insurance subsidiaries’ surplus would have otherwise supported. Currently, we are ceding less of our business to external reinsurers than we have done previously. A determination by us to continue to retain greater risk, or the retention of even more business in the future, increases our financial exposure to losses and significant losses could have a material adverse effect on our business, financial condition, liquidity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Reinsurance may be unavailable at current levels and prices, which may limit our ability to underwrite new policies. Furthermore, reinsurance subjects us to counterparty risk and may not be adequate to protect us against losses, which could have an adverse effect on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subsidiaries, Root Insurance Company and Root Property &amp; Casualty Insurance Company, obtain reinsurance to help manage exposure to property and casualty insurance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reinsurance counterparties are liable to us according to the terms of the reinsurance policies,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limiting recovery.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 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conditions beyond our control impact the availability and cost of the reinsurance we purchase. No assurances can be made that reinsurance will remain continuously available to us to the same extent and on the same terms and rates as is currently available, as such availability depends in part on factors outside of our control. A new contract may not provide sufficient reinsurance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could have a material adverse effect upon our business volume and profitability. Alternatively, we could elect to pay higher than reasonable rates for reinsurance coverage, which could have a material adverse effect upon our profitability unless policy premium rates could be raised, in most cases subject to approval by state regulators, to offset this additional cost.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Reinsurance subjects us to risks of our reinsurers and may not be adequate to protect us against losses arising from ceded insurance, which could have an adverse effect on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In addition, any disputes with reinsurers regarding coverage under reinsurance contracts could be time consuming, costly, and uncertain of success. Our inability to collect a material recovery from a reinsurer could have a material effect on our results of operations and financial condition.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extensive regulation and potential further restrictive regulation may increase our operating costs and limit our growth.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extensive laws and regulations by the individual state insurance departments in the states in which we transact business and the CIMA as it pertains to our captive reinsurance company. These laws and regulations are complex and subject to change. Changes may sometimes lead to additional expenses, increased legal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statutory and risk-based capital solvency requirements, including the minimum capital and surplus our regulated insurance subsidiary must maintain; and establishing minimum reserves that insurance carriers must hold to pay projected insurance claims.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 subject us to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state insurance regulators have primary responsibility for administering and enforcing insurance regulations in the United States,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and rapid rate of growth, we are more vulnerable to regulators identifying errors in the policy forms we use, the rates we charge, or with respect to our customer communications, and consumer-initiated litigation, including class action litigation, pursuant to regulations providing a private right of action. As a result of such noncompliance, regulators have in the past imposed non-material fines and penalties and could in the future impose fines, rebates or other penalties, including cease-and-desist orders with respect to our operations in an individual state, or all states, until the identified noncompliance is rectified.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is risk that any particular regulator’s or enforcement authority’s interpretation of a legal issue or the scope of a regulator’s authority may change over time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Failure to comply with other state insurance laws and regulations in the future could also have a material adverse effect on our business, operating results and financial condition.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 license suspended, or be subject to the seizure of assets. Any such events could adversely affect our business, results of operations or financial condition. See the sections titled (i) “Regulation — Insurance Regulation”, (ii) “Regulation — Insurance Holding Company Regulation” and (iii) “Regulation — Required Licensing” for additional information.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 regulatory environment that requires rate increases to be approved and that can dictate underwriting practices and mandate participation in loss sharing arrangements may adversely affect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political events and pressures affect the insurance market, including efforts to suppress rates to a level that may not allow us to reach targeted levels of profitability. For example, as our loss ratio compares favorably to that of the industry, state or provincial regulatory authorities may impose rate rollbacks, require us to pay premium refunds to policyholders,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results of operations and financial condition could be adversely affected by any of these factors.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State insurance regulators impose additional reporting requirements regarding enterprise risk on insurance holding company systems, with which we must comply as an insurance holding company.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decade, various state insurance regulators have increased their focus on risks within an insurer’s holding company system that may pose enterprise risk to the insurer. As an example, an insurance holding company system’s ultimate controlling person is required to submit annually to its primary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As the ultimate controlling person in the insurance holding company system, we are required to file an annual enterprise risk report. On behalf of Root Insurance Company and Root Property &amp; Casualty Insurance Company, Root Inc. submitted its annual enterprise risk report with Ohio on June 1, 2023. Other changes include the requirement that a controlling person submit prior notice to its supervisory insurance regulator of a divestiture of control, having detailed minimum requirements for cost sharing and management agreements between an insurer and its affiliates and expansion of the agreements between an insurer and its affiliates to be filed with its supervisory insurance regulator.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is also risk that insurance holding company systems may become subject to group capital requirements at the holding company level. The NAIC has developed a group capital calculation covering all entities in our insurance company group for us in solvency monitoring activities. The group capital calculation provides regulators with an additional analytical tool for conducting supervisory activities. The state of our primary state insurance regulator, Ohio, provides that an insurance holding company system that does not write business outside the United States, like us, is not required to file a group capital calculation until June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technology and intellectual property from third parties to operate our business, including for pricing and underwriting our insurance policies, handling claims and maximizing automation, the unavailability or inaccuracy of which could limit the functionality of our products and disrupt our business.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highly dependent upon our ability to perform necessary business functions in an efficient and uninterrupted manner. The shut-down, disruption, degradation or unavailability of one or more of our systems or facilities, or the inability of our employees to communicate in a largely work-from-home environment, for any reason could significantly impair our ability to perform critical business functions on a timely basis. In addition, many of our critical business systems interface with and depend on third-party systems.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offer our products through our website and mobile app using third-party data centers and providers of cloud infrastructure services. We do not have control over the operations or facilities of these third parties. Such facilities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services, prevent customers from accessing our products, destroy customer data, or prevent us from being able to continuously back up and record data. In the event of significant physical damage to one of these data centers, it may take a significant period of time to achieve full resumption of our services, and our disaster recovery planning may not account for all eventualities. If the data centers we utilize or related systems fail to operate properly, or become disabled even for a brief period of time, we could suffer financial loss, a disruption of our business, liability to customers or damage to our reputation. We may not be able to easily switch our operations to another cloud or data center provider if there are disruptions or interference, and, even if we do switch our operations, other cloud and data center providers are subject to the same risks. Moreover, negative publicity arising from these types of disruptions could damage our reputation and may adversely impact use of our website and mobile app.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either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We may not carry sufficient business interruption insurance, it may not be sufficient to compensate us for the potentially significant losses, including the potential harm to the future growth of our business that may result from interruptions in our services or products. Any of these results could harm our business, results of operations and financial condition.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payment processing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methods that we offer also subject us to potential fraud and theft by criminals, who are becoming increasingly more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success depends upon the insurance industry continuing to move online at its current pace and the continued growth and acceptance of online and mobile app-based products and services as effective alternatives to traditional offline products and services.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automobile and renters insurance products primarily through our websites, mobile apps, and partnership channel, including our embedded insurance product, which compete with traditional offline insurance counterparts.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expect. Moreover, if, for any reason, an unfavorable perception develops that telematics, mobile engagement, a technology-based platform and/or 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and financial condition could be adversely affected.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actual incurred losses and LAE may be greater than our loss and LAE reserves, which could have a material adverse effect on our financial condition and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or redundant since we will likely misestimate the cost of claims and claims administration.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economic and judicial trends and legislative and regulatory changes. Moreover, changing climate conditions, whether due to global climate change or other causes, may increase how often severe weather events and other natural disasters occur, how long they last, and how much insured damage they cause, and may change where the events occur. We regularly monitor reserves using new information on reported claims and a variety of statistical techniques to update our current estimate.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could prove to be inadequate, and this underestimation could have a material adverse effect on our financial condition.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Recorded claim reserves, including case reserves, salvage and subrogation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results of operations and financial condition as the reserves and reinsurance recoverables are reestimated.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Performance of our investment portfolio is subject to a variety of investment risks that may adversely affect our financial results.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depend, in part, on the performance of our investment portfolio. We seek to hold a diversified portfolio of investments in accordance with our investment policy, which is routinely reviewed by the Audit, Risk and Finance Committee. However, our investments are subject to general economic and market risks as well as risks inherent to particular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market risk exposures are to changes in interest rates. See the section titled “Management’s Discussion and Analysis of Financial Condition and Results of Operations—Quantitative and Qualitative Disclosures about Market Risk.” In recent years, interest rates have been at or near historic lows. A protracted low interest rate environment would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mortgage-backed and asset-backed securities, carry prepayment risk or, in a rising interest rate environment, may not prepay as quickly as expected.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(i.e., the carrying amount) of the securities we hold in our portfolio does not reflect prices at which actual transactions would occur.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change. Failure to comply with these laws and regulations would cause non-conforming investments to be treated as non-admitted assets for purposes of measuring statutory surplus and, in certain circumstances, we would be required to dispose of such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inability to access our cash accounts or to convert investments into cash on favorable terms when we desire to do so may materially and adversely affect our business, cash flows and capital position.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ability to access our cash accounts at banks and other financial institutions to operate our business. If we are unable to access the cash in those accounts as needed, whether due to our own systems difficulties, an institution-specific issue at the bank or financial institution (such as a bank failure, cybersecurity breach, severe weather or other catastrophe impacting their operations), a broader disruption in banking, financial or wire transfer systems, or otherwise, our ability to pay insurance claims and other financial obligations when due and otherwise operate our business could be materially adversely affected. Likewise, our investment portfolios are subject to risks inherent in the nation’s and world’s capital markets, including the United States continuing to honor its outstanding debt and other obligations. Any disruption in the functioning of those markets or in our ability to liquidate investments or specific categories of investments on favorable terms when desired, or a default by the United States in its obligations, could impair our ability to pay claims or other financial obligations when due and could result in a significant decline in the value of our investment portfolio and have a material adverse impact on our cash flows and capital position. Any such event or series of such events could also result in significant operational difficulties, reputational harm and adverse actions by regulators and have a material adverse effect on our financial condition, cash flows,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Unexpected changes in the interpretation of our coverage or provisions, including loss limitations and exclusions, in our policies could have a material adverse effect on our financial condition and results of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specifically negotiated loss limitations or exclusions in our policies will be enforceable in the manner we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Class A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meet the continued listing requirements of Nasdaq could result in delisting of our Class A common stock, which in its turn would negatively affect the price of our Class A common stock and limit investors’ ability to trade in our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Nasdaq. Nasdaq rules impose certain continued listing requirements, including the minimum $1 bid price, corporate governance standards and number of public stockholders. If we fail to meet these continued listing requirements, Nasdaq may take steps to delist our Class A common stock. If our Class A common stock is delisted from The Nasdaq Global Select Market, we could face significant material adverse consequences, including:</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a limited availability of market quotations for our Class A common stock;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a reduced liquidity with respect to our Class A common stock;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 determination that shares of our Class A common stock are a “penny stock,” which will require broker-dealers trading in our Class A common stock to adhere to more stringent rules, possibly resulting in a reduced level of trading activity in the secondary trading market for our Class A common stock;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a limited amount of news and analyst coverage for our company; and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 xml:space="preserve">a limited ability to issue additional securities or obtain additional financing in the future.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dual class structure of our common stock will have the effect of concentrating voting control with our executive officers, directors and their affiliates, which will limit your ability to influence the outcome of important transactions.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ten votes per share and our Class A common stock has one vote per share. As of February 15, 2024, holders of our Class B common stock collectively beneficially own shares representing approximately 82.9% of the voting power of our outstanding capital stock. Our directors and executive officers and their affiliates collectively beneficially own, in the aggregate, shares representing approximately 18.2%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Applicable insurance laws may make it difficult to effect a change of control.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applicable state insurance laws and regulations, no person may acquire “control” of a domestic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 domestic insurer by filing a Form A Statement Regarding the Acquisition of Control of or Merger with a Domestic Insurer, or Form A.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find these 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do not intend to pay dividends on our Class A common stock so any returns will be limited to the value of our stock.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subsidiary to declare extraordinary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 a public company, we are subject to more stringent federal and state law requirements. We will incur significant increased costs as a result of operating as a public company, and our management will be required to devote substantial time to new compliance initiatives.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subject to the reporting requirements of the Exchange Act, the Sarbanes-Oxley Act, the Dodd-Frank Act, the listing requirements of Nasdaq, and other applicable securities rules and regulations. Compliance with these rules and regulations have and may continue to increase our legal, accounting, investor relations, financial and other costs and expenses, make some activities more difficult, time-consuming or costly and increase demand on our systems and resources. The Exchange Act requires, among other things, that we file annual, quarterly and current reports with respect to our business and operating results.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Risk and Finance Committee and Compensation Committee, and qualified executive officers.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Increasing scrutiny, actions and changing expectations from investors, clients, regulators and our employees with respect to environmental, social and governance (“ESG”) matters may impose additional costs on us, impact our access to capital, or expose us to new or additional risks.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Increased focus, including from governmental organizations, investors, employees and clients, on ESG matters such as environmental stewardship, climate change, diversity, equity and inclusion, pay equity, racial justice, workplace conduct and cybersecurity and data privacy, may result in increased costs (including but not limited to increased costs related to compliance and stakeholder engagement), impact our reputation, or otherwise affect our business performance. Negative public perception, adverse publicity or negative comments in social media could damage our reputation or harm our relationships with regulators and the communities in which we operate, if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or are not perceived to, adequately address these issues, including if we fail to demonstrate progress towards any current or future ESG goals. Any harm to our reputation could negatively impact employee engagement and retention and the willingness of customers to do business with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ESG matters have been the subject of increased focus by certain regulators. Conflicting ESG policies within jurisdictions, such as between federal and some state policies in the U.S., is leading to a complex and fragmented regulatory environment, which may be difficult to navigate.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stakeholders may not be satisfied with our ESG practices or the speed of their adoption. At the same time, certain stakeholders might not be satisfied that we have adopted ESG practices at all. Actual or perceived shortcomings with respect to our ESG practices and reporting could negatively impact our business. We could also incur additional costs and require additional resources to monitor, report, and comply with various ESG practices.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 variety of organizations have developed ratings to measure the performance of companies on ESG topics, and the results of some of these assessments are widely publicized. Such ratings are used by some investors to inform their investment and voting decisions. In addition, many investors have created their own proprietary ratings that inform their investment and voting decisions. Unfavorable ratings of the Company or our industry, as well as omission of inclusion of our stock into ESG-oriented investment funds may lead to negative investor sentiment and the diversion of investment to other companies or industries, which could have a negative impact on our stock price and our access to and cost of capital.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our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Our management does not expect that our internal control over financial reporting will prevent or detect all errors and all fraud. A control system, no matter how well designed and operated, can provide only reasonable assurance, not absolute assurance, that the control system’s objective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and disclosed control deficiencies as of December 31, 2022 that constituted a material weakness. We determined that there were control deficiencies within monitoring controls and the control environment, including the circumvention of control activities that aggregated to a material weakness. We have taken action to remediate the material weakness and management has concluded that the material weakness was remediated as of December 31, 2023. For more information regarding the material weakness, refer to Part II Item 9A, “Controls and Procedures.”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 the future,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to implement or maintain other effective control systems required of public companies, could also restrict our future access to capital markets.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our auditors are unable to conclude that our internal control over financial reporting is effective, investors may lose confidence in our financial reporting and the trading price of our Class A common stock may decline.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Provisions in our corporate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establish a classified board of directors such that not all members of the board are elected at one time;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allow the authorized number of our directors to be changed only by resolution of our board of directors;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limit the manner in which stockholders can remove directors from the board;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 advance notice requirements for stockholder proposals that can be acted on at stockholder meetings and nominations to our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require that stockholder actions must be effected at a duly called stockholder meeting and prohibit actions by our stockholders by written consent;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prohibit our stockholders from calling a special meeting of our stockholders;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require the approval of the holders of at least 66 2⁄3% of the votes that all our stockholders would be entitled to cast to amend or repeal certain provisions of our charter or bylaws.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any breach of the director’s duty of loyalty to the corporation or its stockholders;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unlawful payments of dividends or unlawful stock repurchases or redemptions; or</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maintain directors’ and officers’ liability insurance, such insurance may not be adequate to cover all liabilities that we may incur, which may reduce our available funds to satisfy third-party claims and may adversely impact our cash position.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derivative claim or cause of action brought on our behalf;</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claim or cause of action for breach of a fiduciary duty owed by any of our current or former directors, officers or other employees to us or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any claim or cause of action against us or any of our current or former directors, officers or other employees, arising out of or pursuant to any provision of the DGCL, our certificate of incorporation or our bylaws;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claim or cause of action seeking to interpret, apply, enforce or determine the validity of our certificate of incorporation or our bylaws;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action or proceeding as to which the DGCL confers jurisdiction to the Court of Chancery of the State of Delaware;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Term Loan includes a floating interest rate that exposes us to interest rate risk, and the terms of our Term Loan place restrictions on our operating and financial flexibility. Our failure to comply with covenants contained in the Term Loan may result in acceleration of our repayment obligations, which could harm our liquidity, financial condition, operating results, business and prospects and cause the price of our Class A common stock to decline.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Root is a party to a five-year term loan agreement by and among Root, Caret Holdings, Inc., or Caret, as borrower, and other subsidiary loan parties, the lenders party thereto, or the Lenders, and Acquiom Agency Services LLC, as the administrative agent for the Lenders, or the Term Loan, pursuant to which, Caret has borrowed a principal amount of $300 million, all of which is currently outstanding. Interest is determined on a floating interest rate calculated on the Secured Overnight Financing Rate, or SOFR, with a 1.0% floor, plus 9%. Rising interest rates have an adverse impact on the cost of debt and results in less cash available to utilize in our operations, and could have a material adverse effect on our business and financial condition.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includes limitations that restrict and limit, among other things, our ability to incur other indebtedness and liens, make restricted payments and investments, transfer or sell certain assets, engage in transactions with affiliates, and includes covenants requiring our cash and cash equivalents held in entities other than our insurance subsidiaries to be at least $200 million at all times. This threshold may be reduced to $150 million under two sets of circumstances: issuing 62,500 insurance policies through our Carvana embedded product and achieving a ratio of direct contribution to gross premiums earned of 12%; or ceasing any customer acquisition spend outside of the Carvana agreement and reducing our monthly cash burn to no greater than $12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also contains customary events of default, including, among others, payment default, bankruptcy events, cross-default, breaches of covenants and representations and warranties, change of control and judgment defaults. A breach of any of these covenants could result in default under our Term Loan, which could prompt lenders to declare all amounts outstanding under the Term Loan to be immediately due and payable. A repayment of our debt would materially reduce our cash position and may cause insurance regulators to review our financial condition and require us to take actions to raise additional funds via equity or debt, which may be at less favorable terms than under the Term Loan. If we do not have sufficient cash or reserves, insurance regulators could take regulatory action. If we were unable to repay those amounts, the lenders could proceed against the collateral granted to them to secure that indebtedness. An acceleration of our outstanding indebtedness could have serious consequences to our financial condition, operating results, and business.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General Risk Factors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Significant stockholders may attempt to effect changes at our company or acquire control over our company, which could impact the pursuit of business strategies and adversely affect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stockholders may from time to time engage in proxy solicitations, advance stockholder proposals or otherwise attempt to effect changes or acquire control over our company. Campaigns by stockholders to effect changes at publicly 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divert the attention of our board of directors and senior management from the management of our operations and the pursuit of our business strategies. As a result, stockholder campaigns could adversely affect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Future acquisitions or investments could disrupt our business and harm our financial condition.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we may pursue acquisitions or investments that we believe will help us achieve our strategic objectives. There is no assurance that such acquisitions or investments will perform as expected or will be successfully integrated into our business or generate substantial revenue, and we may overestimate cash flow, underestimate costs or fail to understand the risks of or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inadequacy of reserves for losses and LAE;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or material delay in closing a transaction, including as a result of regulatory review and approvals;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conditions attached to the approval of the acquisition and other regulatory hurdles;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need for additional capital that was not anticipated at the time of the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anticipated benefits not materializing or being lower than anticipated;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transition of the acquired company’s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difficulties in integrating the technologies, operations, existing contracts and personnel of an acquired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retention of employees or business partners of an acquired company;</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integration of the acquired company’s accounting, management information, human resources and other administrative systems;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coordination of product development and sales and marketing functions;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risk that an acquired company or investment in new offerings cannibalizes a portion of our existing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market reaction to an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liability for activities of the acquired company before the acquisition, including patent and trademark infringement claims, violations of laws, commercial disputes, tax liabilities and other known and unknown liabilities;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users, former stockholders or other third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in our consolidated balance sheet, any of which could seriously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expect a number of factors to cause our results of operations to fluctuate on a quarterly and annual basis, which may make it difficult to predict our future performance.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which may adversely affect our stock price. In addition to other risk factors discussed in this “Risk Factors” section and elsewhere in this Annual Report on Form 10-K, factors that may contribute to the variability of our quarterly and annual results include: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attract new customers and retain existing customers, including in a cost-effective manner;</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accurately forecast revenue and losses and appropriately plan our expenses;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effects of changes in search engine placement and prominence;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effects of increased competition on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maintain our position in and expand in existing markets as well as successfully enter new markets;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protect our existing intellectual property and to create new intellectual property;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 adequate rate of growth and effectively manage that growth;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keep pace with technology changes in the insurance, mobile and automobile industries;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our sales and marketing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our partnership channel, including our embedded insurance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costs associated with defending claims, including accident and coverage claims, intellectual property infringement claims, misclassifications and related judgments or settlements;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impact of, and changes in, governmental or other regulation affecting our business;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attraction and retention of qualified employees and key personnel;</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choose and effectively manage third-party service providers;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identify and engage in joint ventures and strategic partnerships;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impact of litigation or other losses;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effect of increasing interest rates on our available cash;</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effects of natural or man-made catastrophic events;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the effectiveness of our internal controls; and</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changes in our tax rates or exposure to additional tax liabilities.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New or changing technologies, including those impacting personal transportation, could cause a disruption in our business model, which may materially impact our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 or home sharing, the more widespread adoption of electric vehicles (including potentially as a result of climate change or regulatory responses to it),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COVID-19 pandemic caused disruption to our operations and future pandemics may negatively impact our business, key metrics, and results of operations in numerous ways that are unpredictable.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was impacted by the effects of the outbreak of the novel strain of coronavirus, or COVID-19, which was declared a global pandemic in March 2020. Pandemics and governmental responses thereto could impact the economies of affected countries, including creating or exacerbating supply chain disruptions and inflation and negatively impacting economic growth, the proper functioning of financial and capital markets, foreign currency exchange rates, and interest rates. It is possible that a pandemic and governmental responses thereto will cause increased inflation, an economic slowdown of potentially extended duration, as well as a global recession.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impact of the pandemic may also exacerbate the other risks described in these Risk Factors, and additional impacts may arise that we are not currently aware of, any of which could have a material effect on us. Pandemics and governmental responses thereto have resulted, and could further result in, an increase in costs associated with claims under our policies, including the cost to repair or replace vehicles, as well as an increase in the number of customers experiencing difficulty paying premiums, any of which could have a material adverse effect on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Future sales of our Class A common stock in the public market by current shareholders could cause the market price of our Class A common stock to decline.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The Company </w:t>
      </w:r>
      <w:r>
        <w:rPr>
          <w:rFonts w:ascii="Times New Roman;sans-serif" w:hAnsi="Times New Roman;sans-serif"/>
          <w:b w:val="false"/>
          <w:color w:val="000000"/>
          <w:sz w:val="20"/>
        </w:rPr>
        <w:t xml:space="preserve">has processes in place designed to protect its information systems and to assess, identify and manage material risks from cybersecurity threats. </w:t>
      </w:r>
      <w:r>
        <w:rPr>
          <w:rFonts w:ascii="Times New Roman;sans-serif" w:hAnsi="Times New Roman;sans-serif"/>
          <w:b w:val="false"/>
          <w:color w:val="000000"/>
          <w:sz w:val="20"/>
          <w:shd w:fill="FFFFFF" w:val="clear"/>
        </w:rPr>
        <w:t>Accordingly, the Company has designed and implemented an Information Security Program, designed to protect the confidentiality, integrity, and availability of its information systems and data (including nonpublic information in its possession, custody, or control), as well as to comply with privacy and Information Security Program requirements for insurers as set forth in applicable state laws and regulations. As part of the Information Security Program, the Company has implemented an information security and privacy training and awareness program for Root employees, which includes new-hire training, ongoing monthly training and regular phishing simulation and exercises. In addition, the Company has engaged third parties in connection with these processes.</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engaged third parties to perform information security risk assessments and testing on a periodic basis. It also has engaged third parties to provide a variety of services, including providing hosted security products as well as services to support security incident detection and response activities. In order to identify and manage risk from third parties, the Company has implemented a third-party cybersecurity risk management program involving the assessment of information security risk related to the third-party, with consideration given to the inherent risk level, the adequacy of the third-party’s control environment to mitigate those risks, and areas of residual risk. The breadth and depth of the assessment activities are designed to be commensurate with the nature and scope of the services provided by the third party.</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oversight of the Company’s cybersecurity risk management processes are integrated into the Company’s enterprise risk management process. Our board of directors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 In connection with its reviews of the operations of our business, the board of directors addresses the primary risks associated with our business including cybersecurity. In particular, our board of directors is committed to the prevention, timely detection and mitigation of the effects of cybersecurity threats or incidents.</w:t>
      </w:r>
    </w:p>
    <w:p>
      <w:pPr>
        <w:pStyle w:val="TextBody"/>
        <w:bidi w:val="0"/>
        <w:spacing w:lineRule="auto" w:line="288" w:before="0" w:after="180"/>
        <w:jc w:val="left"/>
        <w:rPr/>
      </w:pPr>
      <w:r>
        <w:rPr>
          <w:rFonts w:ascii="Times New Roman;sans-serif" w:hAnsi="Times New Roman;sans-serif"/>
          <w:b w:val="false"/>
          <w:color w:val="000000"/>
          <w:sz w:val="20"/>
        </w:rPr>
        <w:t xml:space="preserve">We have experienced cybersecurity threats to our information technology infrastructure and have experienced cybersecurity attacks, attempts to breach our systems, fraudulent activity and other similar incidents. As of the filing of this Annual Report on Form 10-K, we are not aware of any such incidents that have occurred since the beginning of 2023 that have materially affected, or are reasonably likely to materially affect, the Company, including its business strategy, results of operations or financial condition. However, future threats could materially affect our business strategy, results of operations or financial condition. </w:t>
      </w:r>
      <w:r>
        <w:rPr>
          <w:rFonts w:ascii="Times New Roman;sans-serif" w:hAnsi="Times New Roman;sans-serif"/>
          <w:b w:val="false"/>
          <w:color w:val="000000"/>
          <w:sz w:val="20"/>
          <w:shd w:fill="FFFFFF" w:val="clear"/>
        </w:rPr>
        <w:t>Risks related to cybersecurity events are detailed in the section of this Annual Report on Form 10-K titled “Risk Factors—Risks Related to Our Business—Data security breaches, or real or perceived errors, failures or bugs in our systems, website or app could impair our operations, compromise our confidential information or our customers’ personal information, damage our reputation and brand, and harm our business and operating results.”</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Cybersecurity Governance</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While our full board of directors has overall responsibility for risk oversight, it has delegated oversight of certain risks to its committees, including the oversight of risks from cybersecurity threats. The board of directors delegated the oversight of cybersecurity risks to the Audit, Risk and Finance Committee, which oversees controls for the Company’s major financial and security risk exposures. The board of directors, through the Audit, Risk and Finance Committee, oversees the design and implementation of the Information Security Program. The board of directors and the Audit, Risk and Finance Committee are informed about these risks through regular reports from the Chief Information Security Officer, or CISO, about the Information Security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the board of directors is informed of material information security incidents, as needed, by the Computer Security Incident Response Team, which is led by the Company’s Chief Legal Officer.</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The Information Security group and senior leadership are responsible for assessing and managing risks from cybersecurity threats. The Information Security group is led by the Company’s CISO, who is also responsible for the day-to-day management of the Information Security Program. </w:t>
      </w:r>
      <w:r>
        <w:rPr>
          <w:rFonts w:ascii="Times New Roman;sans-serif" w:hAnsi="Times New Roman;sans-serif"/>
          <w:b w:val="false"/>
          <w:color w:val="000000"/>
          <w:sz w:val="20"/>
        </w:rPr>
        <w:t>Katelynn Sandy is the Company’s CISO. Ms. Sandy has an extensive background in cybersecurity, technology, and risk management across a variety of industries, including financial services, healthcare, and technology. Additionally, Ms. Sandy holds various information security certifications.</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The Information Security group, senior leadership and the CISO are informed </w:t>
      </w:r>
      <w:r>
        <w:rPr>
          <w:rFonts w:ascii="Times New Roman;sans-serif" w:hAnsi="Times New Roman;sans-serif"/>
          <w:b w:val="false"/>
          <w:color w:val="000000"/>
          <w:sz w:val="20"/>
        </w:rPr>
        <w:t>about and monitor the prevention, detection, mitigation, and remediation of cybersecurity incidents</w:t>
      </w:r>
      <w:r>
        <w:rPr>
          <w:color w:val="000000"/>
          <w:shd w:fill="FFFFFF" w:val="clear"/>
        </w:rPr>
        <w:t xml:space="preserve"> </w:t>
      </w:r>
      <w:r>
        <w:rPr>
          <w:rFonts w:ascii="Times New Roman;sans-serif" w:hAnsi="Times New Roman;sans-serif"/>
          <w:b w:val="false"/>
          <w:color w:val="000000"/>
          <w:sz w:val="20"/>
        </w:rPr>
        <w:t>through the Information Security Program.</w:t>
      </w:r>
      <w:r>
        <w:rPr>
          <w:color w:val="000000"/>
          <w:shd w:fill="FFFFFF" w:val="clear"/>
        </w:rPr>
        <w:t xml:space="preserve"> </w:t>
      </w:r>
      <w:r>
        <w:rPr>
          <w:rFonts w:ascii="Times New Roman;sans-serif" w:hAnsi="Times New Roman;sans-serif"/>
          <w:b w:val="false"/>
          <w:color w:val="000000"/>
          <w:sz w:val="20"/>
          <w:shd w:fill="FFFFFF" w:val="clear"/>
        </w:rPr>
        <w:t xml:space="preserve">At least quarterly, the CISO provides updates to the Audit, Risk and Finance Committee, which includes updates on the overall Information Security Program status and compliance, cybersecurity related risks, and recommended changes to the Information Security Program. </w:t>
      </w:r>
      <w:r>
        <w:rPr>
          <w:rFonts w:ascii="Times New Roman;sans-serif" w:hAnsi="Times New Roman;sans-serif"/>
          <w:b w:val="false"/>
          <w:color w:val="000000"/>
          <w:sz w:val="20"/>
        </w:rPr>
        <w:t xml:space="preserve">Senior members of our Information Security and Internal Audit functions also provide detailed, regular reports on information security and privacy to the </w:t>
      </w:r>
      <w:r>
        <w:rPr>
          <w:rFonts w:ascii="Times New Roman;sans-serif" w:hAnsi="Times New Roman;sans-serif"/>
          <w:b w:val="false"/>
          <w:color w:val="000000"/>
          <w:sz w:val="20"/>
          <w:shd w:fill="FFFFFF" w:val="clear"/>
        </w:rPr>
        <w:t>Audit, Risk and Finance Committee</w:t>
      </w:r>
      <w:r>
        <w:rPr>
          <w:rFonts w:ascii="Times New Roman;sans-serif" w:hAnsi="Times New Roman;sans-serif"/>
          <w:b w:val="false"/>
          <w:color w:val="000000"/>
          <w:sz w:val="20"/>
        </w:rPr>
        <w: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is located in Columbus, Ohio, and consists of 43,228 square feet under a lease agreement that expires in 2027. We lease all of our facilities and do not own any real property. We also sublease certain office space to the extent we no longer need that space for current and anticipated future needs. We believe our facilities are adequate and suitable for our current needs and that, should it be needed, suitable additional or alternative space will be available to accommodate our operations.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leases, refer to Note 8, “Leases,” in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While the outcome of all legal actions is not presently determinable, except as noted in Note 13, “Commitments and Contingencies,” in the Notes to Consolidated Financial Statements, we do not believe that we are party to any current or pending legal action that could reasonably be expected to have a material adverse effect on our financial condition or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15, 2024, Root had 38 common stockholders of record of Class A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15, 2024, Root had 43 common stockholders of record of Class B common stock.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on Form 10-K. Additionally, our historical results are not necessarily indicative of the results that may be expected for any period in the future. This Management’s Discussion and Analysis does not discuss 2021 performance or a comparison of 2022 versus 2021 performance for select areas where we have determined the omitted information is not necessary to understand our current period financial condition, changes in our financial condition, or our results. The omitted information may be found in our Annual Report on Form 10-K for the year ended December 31, 2022 filed with the Securities and Exchange Commission, or the SEC, on February 22,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Root is a technology company revolutionizing personal insurance with a pricing model based upon fairness and a modern customer experience. We operate primarily a direct-to-consumer model in which we currently acquire the majority of our customers through mobile apps. We are also focused on expanding our partnership channel, where we acquire customers using various means, including through embedded integrations.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Root advantage is derived from our unique ability to efficiently and effectively bind auto insurance policies quickly, through direct and partnership channels, aided by segmenting individual risk based on complex behavioral data and proprietary telematics models.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scale the business, we aim to drive new customer growth by capitalizing on our two distribution channels: direct and partnerships. In both channels we seek to optimize unit economics. Loss ratios for customers in their initial term are generally higher than in subsequent terms. Thus, as a young insurance company, our results are disproportionately weighted toward new customers. We believe our data- and technology-driven approach allows for rapid response to macroeconomic trends through quick, appropriate rate actions. Our ability to continually enhance our underwriting and segmentation capabilities has contributed to improvement in our gross loss ratios. Our marketing spend is grounded in a disciplined data-science approach, targeting customers that align with our lifetime expected returns. Over time we expect to build a base of recurring customers with more favorable loss ratios, resulting in the following financial impacts: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Improved loss ratio</w:t>
      </w:r>
      <w:r>
        <w:rPr>
          <w:rFonts w:ascii="Times New Roman;sans-serif" w:hAnsi="Times New Roman;sans-serif"/>
          <w:b w:val="false"/>
          <w:color w:val="000000"/>
          <w:sz w:val="20"/>
        </w:rPr>
        <w:t xml:space="preserve">. Through improvements in our pricing, underwriting and segmentation we have seen improvement to our gross loss ratios. Renewal premiums, referring to premiums from a customer’s second term and beyond,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 xml:space="preserve">Reduced marketing as a percentage of premium. </w:t>
      </w:r>
      <w:r>
        <w:rPr>
          <w:rFonts w:ascii="Times New Roman;sans-serif" w:hAnsi="Times New Roman;sans-serif"/>
          <w:b w:val="false"/>
          <w:color w:val="000000"/>
          <w:sz w:val="20"/>
        </w:rPr>
        <w:t>Certain recurring customer premiums have no associated customer acquisition costs and minimal underwriting costs, driving profitability. As we grow our business, we anticipate, consistent with industry norms, that a greater proportion of our premiums will be from customer renewals with lower associated acquisition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i/>
          <w:color w:val="000000"/>
          <w:sz w:val="20"/>
        </w:rPr>
        <w:t>Increased revenue per customer.</w:t>
      </w:r>
      <w:r>
        <w:rPr>
          <w:color w:val="000000"/>
        </w:rPr>
        <w:t xml:space="preserve"> </w:t>
      </w:r>
      <w:r>
        <w:rPr>
          <w:rFonts w:ascii="Times New Roman;sans-serif" w:hAnsi="Times New Roman;sans-serif"/>
          <w:b w:val="false"/>
          <w:color w:val="000000"/>
          <w:sz w:val="20"/>
        </w:rPr>
        <w:t>Over time we expect to refine our fee schedules to be more consistent with industry norms. This, paired with targeted marketing, strengthened underwriting and pricing segmentation, will facilitate the opportunity to generate additional fee revenue per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technology to drive efficiency across all functions, including distribution, underwriting, policy administration and claims in particular. We continue to develop machine learning loss models, which allow us to respond more quickly to changes in the market, improve pricing segmentation and take appropriate and timely rate actions. We believe this allows us to operate with a cost to acquire and cost to serve advantage. We efficiently acquire customers through multiple channels, including direct digital (performance), channel media, referrals, and partnership, including embedded and agency and affinity. Our evolving acquisition strategy includes utilizing our embedded insurance offering with current and future strategic partners. Our marketing costs have historically been well below industry averages, although in any given period, these costs can vary by acquisition strategy, channel mix, by state, or due to seasonality or due to the competitive environment. Today, we acquire the vast majority of our customers through mobile apps. We believe that through prudent investment in and diversification of our marketing channels, including leveraging proprietary data science and technology and a focus on partnerships with our current and future strategic partners, will position us for more sustainable, long-term and profitable growth.</w:t>
      </w:r>
    </w:p>
    <w:p>
      <w:pPr>
        <w:pStyle w:val="TextBody"/>
        <w:bidi w:val="0"/>
        <w:spacing w:lineRule="auto" w:line="288" w:before="0" w:after="180"/>
        <w:jc w:val="left"/>
        <w:rPr/>
      </w:pPr>
      <w:r>
        <w:rPr>
          <w:rFonts w:ascii="Times New Roman;sans-serif" w:hAnsi="Times New Roman;sans-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prioritize revenue and targeted profitable customer growth while maintaining regulatory capital requirements, (2) source efficient capital to support customer acquisition costs; and (3) mitigate impact of large losses or tail events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expect to continuously evaluate our utilization of third-party reinsurance while scaling our business in order to operate a capital-efficient business model. As our gross loss ratios continue to improve and stabilize over the long-term, we expect to maintain the flexibility to modify our reinsurance program.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may not be achievable under our regulatory landscape given our historical top-line growth and resulting capital requirements, which are relieved, in part, by obtaining reinsurance.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gross basis metrics, management uses adjusted earnings before interest, tax, depreciation,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“—Key Performance Indicators” and for reconciliations of Direct Contribution and adjusted EBITDA to the most directly comparable generally accepted accounting principles in the United States, or GAAP, metric, see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Operating Performance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results of operations have been, and will continue to be, affected by a number of factors, including the following: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Ability to Manage and Price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leverage technology to help manage risk. For instance, we leverage machine learning to “clean” behavioral data obtained through a customer’s mobile device, and we use advanced statistical methods to model that data into usable behavior scores. We leverage intelligent chat functions and various forms of machine learning and advanced automation to help power our claims function. Technology is a key differentiator in managing risk across our key functions. Our success depends on our ability to adequately and competitively price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Ability to Attract New Customers</w:t>
      </w:r>
    </w:p>
    <w:p>
      <w:pPr>
        <w:pStyle w:val="TextBody"/>
        <w:bidi w:val="0"/>
        <w:spacing w:lineRule="auto" w:line="288" w:before="0" w:after="180"/>
        <w:jc w:val="left"/>
        <w:rPr/>
      </w:pPr>
      <w:r>
        <w:rPr>
          <w:rFonts w:ascii="Times New Roman;sans-serif" w:hAnsi="Times New Roman;sans-serif"/>
          <w:b w:val="false"/>
          <w:color w:val="000000"/>
          <w:sz w:val="20"/>
        </w:rPr>
        <w:t xml:space="preserve">Our long-term growth will depend, in large part, on our continued ability to attract new customers to our platform. We intend to continue to drive new customer growth by leveraging our differentiated consumer experience, our partnership channel, direct performance marketing driven by dynamic data science models, machine learning loss models and our telematics-based pricing models. Additionally, our proprietary dataset will continue to scale as we grow, enabling us to enhance our predictive models to further improve pricing and attract potential new customers. We will also continue to target attractive potential customer segments through diverse distribution strategy, which includes direct and partnership channels. </w:t>
      </w:r>
      <w:r>
        <w:rPr>
          <w:rFonts w:ascii="Times New Roman;sans-serif" w:hAnsi="Times New Roman;sans-serif"/>
          <w:b w:val="false"/>
          <w:color w:val="000000"/>
          <w:sz w:val="20"/>
          <w:shd w:fill="FFFFFF" w:val="clear"/>
        </w:rPr>
        <w:t xml:space="preserve">Our ability to attract new customers will depend on a number of factors, including the pricing of our products, offerings of our competitors, success of our partnership channel and the effectiveness of our marketing efforts, and our ability to expand into new markets. </w:t>
      </w:r>
      <w:r>
        <w:rPr>
          <w:rFonts w:ascii="Times New Roman;sans-serif" w:hAnsi="Times New Roman;sans-serif"/>
          <w:b w:val="false"/>
          <w:color w:val="000000"/>
          <w:sz w:val="20"/>
        </w:rPr>
        <w:t>Our ability to attract and retain customers depends on maintaining and strengthening our brand by providing superior customer experiences and competitive pricing. In particular, we are challenged by traditional insurers who have more diverse product 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Ability to Retain Customers</w:t>
      </w:r>
    </w:p>
    <w:p>
      <w:pPr>
        <w:pStyle w:val="TextBody"/>
        <w:bidi w:val="0"/>
        <w:spacing w:lineRule="auto" w:line="288" w:before="0" w:after="180"/>
        <w:jc w:val="left"/>
        <w:rPr/>
      </w:pPr>
      <w:r>
        <w:rPr>
          <w:rFonts w:ascii="Times New Roman;sans-serif" w:hAnsi="Times New Roman;sans-serif"/>
          <w:b w:val="false"/>
          <w:color w:val="000000"/>
          <w:sz w:val="20"/>
        </w:rPr>
        <w:t xml:space="preserve">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costs. As we broadly retain customers and our book of business evolves to be more weighted towards renewals versus new business, as is the case with our mature competitors, we will benefit from the inherently lower loss ratios that characterize renewed premiums. </w:t>
      </w:r>
      <w:r>
        <w:rPr>
          <w:rFonts w:ascii="Times New Roman;sans-serif" w:hAnsi="Times New Roman;sans-serif"/>
          <w:b w:val="false"/>
          <w:color w:val="000000"/>
          <w:sz w:val="20"/>
          <w:shd w:fill="FFFFFF" w:val="clear"/>
        </w:rPr>
        <w:t>Our ability to retain customers will depend on a number of factors, including our customers’ satisfaction with our products, offerings of our competitors and pricing of products.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Our Ability to be Licensed in all States in the United States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opportunity will benefit from our ability to provide insurance across more states in the United States. Today, we are currently licensed in 50 states (48 states for personal auto) and the District of Columbia and operate in 34 of those states. Our state expansion has unlocked a large total addressable market for sustained growth, made our direct targeted marketing more efficient and created an opportunity to build a national brand, supporting our marketing holistically.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Ability to Expand Premiums Through Cross-Sell and Fee Income Per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early stages of cross-selling non-auto products across our customer base. In 2019, we began offering renters insurance and, in May 2020, we launched our homeowners insurance product in partnership with Homesite Insurance. Cross-sales allow us to generate additional premiums (renters) and fee income (homeowners) without material incremental marketing spend, and ultimately higher revenue per customer. We have also observed that bundling products with auto insurance improves retention as the relationship with our customer expands. Our success in expanding revenues through cross-sales and greater fee income per policy depends on our marketing efforts with new products, continuous state expansion of these offerings and the pricing of our bundled products and continuing to refine the fee schedules in our policyholder contracts to be more consistent with industry norms. The success of our renters insurance offering is also subject to our ability to develop underwriting capabilities to adequately price renters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 Affecting Comparability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Macroeconomic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instability has led to acute inflationary pressures, supply chain disruptions, changes in interest rates, changes in equity markets and bank failures. There is a risk of inflation remaining elevated for an extended period, which could cause claims and claim expenses to increase, impact the performance of our investment portfolio or have other adverse effects, including variability in the competitive environment. We have seen an increase in vehicle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medical costs.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Comprehensive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we reduced the utilization of reinsurance through a strategic reduction of external quota share. The changes to the reinsurance program aim to deliver improved economics and capital efficiency.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tbl>
      <w:tblPr>
        <w:tblW w:w="6872" w:type="dxa"/>
        <w:jc w:val="left"/>
        <w:tblInd w:w="0" w:type="dxa"/>
        <w:tblLayout w:type="fixed"/>
        <w:tblCellMar>
          <w:top w:w="28" w:type="dxa"/>
          <w:left w:w="28" w:type="dxa"/>
          <w:bottom w:w="28" w:type="dxa"/>
          <w:right w:w="28" w:type="dxa"/>
        </w:tblCellMar>
      </w:tblPr>
      <w:tblGrid>
        <w:gridCol w:w="960"/>
        <w:gridCol w:w="845"/>
        <w:gridCol w:w="849"/>
        <w:gridCol w:w="211"/>
        <w:gridCol w:w="691"/>
        <w:gridCol w:w="271"/>
        <w:gridCol w:w="109"/>
        <w:gridCol w:w="109"/>
        <w:gridCol w:w="109"/>
        <w:gridCol w:w="211"/>
        <w:gridCol w:w="691"/>
        <w:gridCol w:w="271"/>
        <w:gridCol w:w="109"/>
        <w:gridCol w:w="109"/>
        <w:gridCol w:w="109"/>
        <w:gridCol w:w="211"/>
        <w:gridCol w:w="691"/>
        <w:gridCol w:w="316"/>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Premiums per policy)</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Policies in force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ratio</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expense ratio</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ratio</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LAE ratio</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expense ratio</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combined ratio</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31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Policies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per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Profit/(Loss)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profit/(loss) as total revenue minus net loss and LAE and other insurance expense (benefit). We view gross profit/(loss) as an important metric because we believe it is informative of the financial performance of our core insurance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direct contribution, a non-GAAP financial measure, as gross profit/(loss) excluding net investment income, net realized gains on investments, report costs, commission expenses related to our partnership channel, certain warrant compensation expense related to our embedded channel, overhead allocated based on headcount, or Overhead, and salaries, health benefits, bonuses, employee retirement plan-related expenses and employee share-based compensation expense, or Personnel Costs, licenses, professional fees and other expenses, ceded premiums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(benefit).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“—Non-GAAP Financial Measures” for a reconciliation of total revenue to direct contribution.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 non-GAAP financial measure, as net loss excluding interest expense, income tax expense, depreciation and amortization, share-based compensation, warrant compensation expense, restructuring charges, write-off of prepaid marketing expenses,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“—Non-GAAP Financial Measures” for a reconciliation of net loss to adjusted EBITDA.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Loss and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do not cede any of our LAE to our third-party quota share reinsurance treaties; therefore, we actively monitor LAE ratio as it has a direct impact on our results regardless of our reinsurance strategy.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Accident Period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net premiums earned, net investment income, net realized gains on investments, fee income and other income.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 are deferred and earned pro rata over the policy period. Net premiums earned represents the earned portion of our gross premiums written, less the earned portion that is ceded to third-party reinsurers under our reinsurance agreements.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represents interest earned from our cash and cash equivalents and fixed maturity and short-term investments and unrealized gains and losses from our private equity investments less investment expenses. Net investment income also includes impairments related to Low Income Housing Tax Credits, or LIHTC, investments in limited liability entities to offset Georgia premium taxes. These tax credits are recognized when utilized. Net investment income is directly correlated with the overall size of our investment portfolio, market level of interest rates and changes in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Realized Gains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 represents the difference between the amount received by us on the sale of an investment as compared to the investment’s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Fee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is comprised of revenue earned from distributing website and app policy inquiry leads in geographies where we do not have a presence, recognized when we generate the lead; and commissions earned for homeowners policies placed with third-party insurance companies where we have no exposure to the insured risk, recognized on the effective date of the associated policy.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loss and LAE, sales and marketing, other insurance expense (benefit), technology and development, and general and administrative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includes expenses related to direct performance marketing, channel media, advertising, sponsorship, referral fees and partnership channel. These expenses also include related Personnel Costs and Overhead related to our brand strategy, creative and business development activities and certain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Carvana’s online buying platform, or the Integrated Platform,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investing in and diversifying our marketing channels to attract and acquire new customers, increase our brand awareness, and expand our product offerings within certain markets. We expect that in the long-term, our sales and marketing will decrease as a percentage of revenue as the proportion of renewals to our total business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includes underwriting expenses, commission expenses related to our partnership channel, premium taxes, credit card and policy processing expenses, premium write-offs, insurance license expenses, certain warrant compensation expense related to our embedded channel,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Other insurance expense (benefit)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(benefit).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write-offs;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on Early Extinguishment of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early extinguishment of debt is not an operating expense; therefore, we include these expenses below operating expenses. Loss on early extinguishment of debt primarily relates to the difference between the reacquisition price of the debt and the net carrying amount of the extinguished debt. Upon extinguishment of debt, the remaining unamortized discount and debt and warrants issuance costs are recognized as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9807" w:type="dxa"/>
        <w:jc w:val="left"/>
        <w:tblInd w:w="0" w:type="dxa"/>
        <w:tblLayout w:type="fixed"/>
        <w:tblCellMar>
          <w:top w:w="28" w:type="dxa"/>
          <w:left w:w="28" w:type="dxa"/>
          <w:bottom w:w="28" w:type="dxa"/>
          <w:right w:w="28" w:type="dxa"/>
        </w:tblCellMar>
      </w:tblPr>
      <w:tblGrid>
        <w:gridCol w:w="1675"/>
        <w:gridCol w:w="1473"/>
        <w:gridCol w:w="1486"/>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343"/>
        <w:gridCol w:w="347"/>
        <w:gridCol w:w="544"/>
      </w:tblGrid>
      <w:tr>
        <w:trPr/>
        <w:tc>
          <w:tcPr>
            <w:tcW w:w="167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gains (losses) on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increased $114.0 million, or 39.9%, to $399.9 million for the year ended December 31, 2023 compared to 2022. The increase was primarily due to reduced cessions of gross premiums earned to reinsurers between periods and greater premium per policy resulting from rate actions. This was partially offset by lower gross premiums earned between the periods.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ceded approximately 37.1% and 55.6% of our gross premiums earned, and 26.8% and 55.2% of our gross premiums written to third-party reinsurers, respectively. The change in cessions between periods was primarily driven by a strategic reduction of quota share reinsurance and commutations of certain reinsurance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180"/>
        <w:jc w:val="left"/>
        <w:rPr/>
      </w:pPr>
      <w:r>
        <w:rPr/>
      </w:r>
    </w:p>
    <w:p>
      <w:pPr>
        <w:pStyle w:val="TextBody"/>
        <w:bidi w:val="0"/>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years ended December 31, 2023 and 2022:</w:t>
      </w:r>
    </w:p>
    <w:tbl>
      <w:tblPr>
        <w:tblW w:w="7049"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6"/>
        <w:gridCol w:w="310"/>
        <w:gridCol w:w="54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 increased due to growth in new writings, particularly in the second half of 2023, compared to contraction of policies in force during 2022, as a result of decreased direct performance marketing spend. Gross premiums earned decreased primarily due to lower average policies in force for the year ended December 31, 2023 compared to 2022. This was partially offset by a 16.6% increase in premium per policy for automobile insurance primarily attributable to rate 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increased $24.0 million, or 387.1% to $30.2 million for the year ended December 31, 2023 compared to 2022. The increase was primarily driven by higher interest and dividends received attributable to investing more in higher yielding investments, as a result of the favorable interest rate environment.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Fee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Fee income increased $6.9 million, or 41.8%, to $23.4 million for the year ended December 31, 2023 compared to 2022. The increase was primarily driven by a $4.1 million increase in policy fees and an $1.3 million increase in late payment fees due to implementation of new fees in 2023 and as a result of refining our fee schedules to policyholders. In addition, we experienced an $1.0 million increase in installment fees attributable to an increase in collected fees, as a result of increased gross written premium.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decreased $19.7 million, or 5.6%, to $331.3 million for the year ended December 31, 2023 compared to 2022. The decrease was primarily due to better loss experience for the year ended December 31, 2023 compared to 2022. This was partially offset by reduced cessions of losses to reinsurers and commutations of certain reinsurance agreements, which includes an $1.7 million expense related to an allowance for credit losses for the year ended December 31, 2023 compared to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66.0% for the year ended December 31, 2023, from 80.2% for 2022.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experienced a 7% increase in severity per claim and a 5% decrease in claim frequency for the year ended December 31, 2023 compared to 2022. The claim severity and frequency estimates are based on bodily injury, collision, and property damage coverages, the claim frequency estimates are tenure mix adjusted.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increased $1.3 million, or 2.7%, to $49.3 million for the year ended December 31, 2023 compared to 2022. The increase was due to a $37.4 million increase in direct performance marketing spend to drive growth, particularly in the second half of 2023 when we experienced a favorable competitive environment for deploying customer acquisition costs, and deeper market penetration in the states in which we operate. This was partially offset by a $21.4 million decrease in content development, marketing partnership, sponsorship and advertising costs due to a shift in our direct marketing strategy. In addition, we experienced an $8.8 million decline in warrant compensation expense related to the completion of the Integrated Platform pursuant to the Carvana commercial agreement in 2022. We also experienced a $6.3 million decrease in Personnel Costs as a result of a decrease in headcount, primarily attributable to the involuntary workforce reductions in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insurance expense (benefit) increased $55.6 million, or 695.0%, to an expense of $47.6 million for the year ended December 31, 2023 compared to 2022. The increase was primarily driven by a $22.1 million decrease in net ceding commission contra-expense as a result of a decline in ceded premiums and commutations of certain reinsurance agreements. We also experienced a $20.4 million increase in report costs due to an increase in customer applications and new writings, and an $11.6 million increase in Carvana warrant compensation expense as a result of policies originating from the Integrated Platform. In addition, we experienced a $9.9 million increase in amortization of deferred policy acquisition costs for commission expenses related to our partnership channel. This was partially offset by a $4.9 million decrease in premium write-offs and a $4.0 million decrease in Personnel Costs as a result of a decrease in headcount due to the involuntary workforce reductions in 2022.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decreased $10.7 million, or 19.3%, to $44.8 million for the year ended December 31, 2023 compared to 2022. The decrease was primarily driven by an $8.4 million decrease in Personnel Costs as a result of a decrease in headcount, primarily attributable to the involuntary workforce reductions in 2022. We also experienced a $3.4 million decrease in software development expense as a result of initiatives to reduce operating costs. This was partially offset by an $1.3 million increase in amortization of internally developed software.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$44.1 million, or 34.6%, to $83.3 million for the year ended December 31, 2023 compared to 2022. The decrease was driven by a $25.0 million decrease in Personnel Costs and a $7.4 million decrease in restructuring costs as a result of a decrease in headcount, primarily attributable to the involuntary workforce reductions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experienced a $10.2 million decrease related to the write-off of pre-paid marketing expense recognized in 2022, partially offset by a decrease of $1.9 million in insurance recovery contra-expense related to the misappropriation of funds by a former senior marketing employee recorded in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$11.5 million, or 33.2%, to $46.1 million for the year ended December 31, 2023 compared to 2022. The increase was primarily due to a $11.2 million increase in debt interest expense primarily as a result of a greater average interest rate for the year ended December 31, 2023 compared to 2022. </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Net Unrealized Gains (Losses)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gains (losses) on investments increased $9.5 million, or 153.2%, to a gain of $3.3 million for the year ended December 31, 2023 compared to 2022. The increase is primarily attributable to investments being reinvested at maturity in securities that reflect the current interest rate environment.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2022 and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9207" w:type="dxa"/>
        <w:jc w:val="left"/>
        <w:tblInd w:w="0" w:type="dxa"/>
        <w:tblLayout w:type="fixed"/>
        <w:tblCellMar>
          <w:top w:w="28" w:type="dxa"/>
          <w:left w:w="28" w:type="dxa"/>
          <w:bottom w:w="28" w:type="dxa"/>
          <w:right w:w="28" w:type="dxa"/>
        </w:tblCellMar>
      </w:tblPr>
      <w:tblGrid>
        <w:gridCol w:w="1458"/>
        <w:gridCol w:w="1283"/>
        <w:gridCol w:w="1293"/>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342"/>
        <w:gridCol w:w="348"/>
        <w:gridCol w:w="544"/>
      </w:tblGrid>
      <w:tr>
        <w:trPr/>
        <w:tc>
          <w:tcPr>
            <w:tcW w:w="14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(benefit)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December 31, 2022 and 2021 results of operations discussion can be found in Part II, Item 7, “Results of Operations” of our Annual Report on Form 10-K for the year ended December 31, 2022.</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revenue to direct contribution for the years ended December 31, 2023, 2022 and 2021:</w:t>
      </w:r>
    </w:p>
    <w:tbl>
      <w:tblPr>
        <w:tblW w:w="7961" w:type="dxa"/>
        <w:jc w:val="left"/>
        <w:tblInd w:w="0" w:type="dxa"/>
        <w:tblLayout w:type="fixed"/>
        <w:tblCellMar>
          <w:top w:w="28" w:type="dxa"/>
          <w:left w:w="28" w:type="dxa"/>
          <w:bottom w:w="28" w:type="dxa"/>
          <w:right w:w="28" w:type="dxa"/>
        </w:tblCellMar>
      </w:tblPr>
      <w:tblGrid>
        <w:gridCol w:w="1611"/>
        <w:gridCol w:w="1418"/>
        <w:gridCol w:w="1425"/>
        <w:gridCol w:w="211"/>
        <w:gridCol w:w="616"/>
        <w:gridCol w:w="109"/>
        <w:gridCol w:w="109"/>
        <w:gridCol w:w="109"/>
        <w:gridCol w:w="109"/>
        <w:gridCol w:w="211"/>
        <w:gridCol w:w="616"/>
        <w:gridCol w:w="109"/>
        <w:gridCol w:w="109"/>
        <w:gridCol w:w="109"/>
        <w:gridCol w:w="109"/>
        <w:gridCol w:w="211"/>
        <w:gridCol w:w="61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insurance (expense) benefit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Adjustments from other insurance (expense) benefit</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 and loss adjustment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ceding commission and other</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left"/>
        <w:rPr/>
      </w:pPr>
      <w:r>
        <w:rPr>
          <w:rFonts w:ascii="Times New Roman;sans-serif" w:hAnsi="Times New Roman;sans-serif"/>
          <w:b w:val="false"/>
          <w:color w:val="000000"/>
          <w:sz w:val="16"/>
        </w:rPr>
        <w:t>(1) Adjustments from other insurance (expense) benefit includes report costs, commission expenses related to our partnership channel, certain warrant compensation expense related to our embedded channel, Personnel costs, Overhead, licenses, professional fees and other</w:t>
      </w:r>
      <w:r>
        <w:rPr>
          <w:rFonts w:ascii="Times New Roman;sans-serif" w:hAnsi="Times New Roman;sans-serif"/>
          <w:b w:val="false"/>
          <w:color w:val="000000"/>
          <w:sz w:val="20"/>
        </w:rPr>
        <w:t xml:space="preserve">. </w:t>
      </w:r>
    </w:p>
    <w:p>
      <w:pPr>
        <w:pStyle w:val="TextBody"/>
        <w:bidi w:val="0"/>
        <w:spacing w:lineRule="auto" w:line="288" w:before="0" w:after="0"/>
        <w:ind w:left="0" w:right="0" w:hanging="360"/>
        <w:jc w:val="left"/>
        <w:rPr/>
      </w:pPr>
      <w:r>
        <w:rPr>
          <w:rFonts w:ascii="Times New Roman;sans-serif" w:hAnsi="Times New Roman;sans-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ans-serif" w:hAnsi="Times New Roman;sans-serif"/>
          <w:b w:val="false"/>
          <w:color w:val="000000"/>
          <w:sz w:val="20"/>
        </w:rPr>
        <w:t xml:space="preserve">.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definition of adjusted EBITDA and why management believes this measure provides useful information to investors, see “—Key Performance Indicators.” </w:t>
      </w:r>
    </w:p>
    <w:p>
      <w:pPr>
        <w:pStyle w:val="TextBody"/>
        <w:bidi w:val="0"/>
        <w:spacing w:lineRule="auto" w:line="288" w:before="0" w:after="180"/>
        <w:jc w:val="left"/>
        <w:rPr/>
      </w:pPr>
      <w:r>
        <w:rPr>
          <w:rFonts w:ascii="Times New Roman;sans-serif" w:hAnsi="Times New Roman;sans-serif"/>
          <w:b w:val="false"/>
          <w:color w:val="000000"/>
          <w:sz w:val="20"/>
        </w:rPr>
        <w:t>The following table provides a reconciliation of net loss to adjusted EBITDA for the years ended December 31, 2023, 2022 and 2021:</w:t>
      </w:r>
      <w:r>
        <w:rPr>
          <w:color w:val="000000"/>
        </w:rPr>
        <w:t xml:space="preserve"> </w:t>
      </w:r>
    </w:p>
    <w:tbl>
      <w:tblPr>
        <w:tblW w:w="6867" w:type="dxa"/>
        <w:jc w:val="left"/>
        <w:tblInd w:w="0" w:type="dxa"/>
        <w:tblLayout w:type="fixed"/>
        <w:tblCellMar>
          <w:top w:w="28" w:type="dxa"/>
          <w:left w:w="28" w:type="dxa"/>
          <w:bottom w:w="28" w:type="dxa"/>
          <w:right w:w="28" w:type="dxa"/>
        </w:tblCellMar>
      </w:tblPr>
      <w:tblGrid>
        <w:gridCol w:w="1135"/>
        <w:gridCol w:w="991"/>
        <w:gridCol w:w="1009"/>
        <w:gridCol w:w="211"/>
        <w:gridCol w:w="691"/>
        <w:gridCol w:w="109"/>
        <w:gridCol w:w="109"/>
        <w:gridCol w:w="109"/>
        <w:gridCol w:w="109"/>
        <w:gridCol w:w="211"/>
        <w:gridCol w:w="691"/>
        <w:gridCol w:w="109"/>
        <w:gridCol w:w="109"/>
        <w:gridCol w:w="109"/>
        <w:gridCol w:w="109"/>
        <w:gridCol w:w="211"/>
        <w:gridCol w:w="69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Write-offs and other </w:t>
            </w:r>
            <w:r>
              <w:rPr>
                <w:rFonts w:ascii="Times New Roman;sans-serif" w:hAnsi="Times New Roman;sans-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Restructuring costs consist of employee costs, real estate exit costs, and other. This includes $0.4 million, $5.3 million and zero of share-based compensation for the years ended December 31, 2023, 2022 and 2021, respectively. This also includes $0.4 million, $1.7 million and zero of depreciation and amortization for the years ended December 31, 2023, 2022 and 2021, respectively. For further information on restructuring costs, see Note 10, “Restructuring Costs,” in the Notes to Consolidated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Write-offs and other primarily reflects legal costs, write-off prepaid marketing expense and other items that do not reflect our ongoing operating performance. This includes write-off of prepaid marketing expenses of zero, $10.2 million and zero for the years ended December 31, 2023, 2022 and 2021, respectively. Legal and other fees of related to the misappropriation of funds by a former senior marketing employee in 2022 of $3.2 million, $1.2 million and zero for the years ended December 31, 2023, 2022 and 2021, respectively, partially offset by an insurance recovery of $1.9 million in 2022.</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 including the issuance of stock and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may impact our liquidity such as the economic instability resulting in acute inflationary pressures, supply chain disruptions, changes in interest rates, changes in equity markets, bank failures and our utilization of reinsurance. There is a risk of inflation remaining elevated for an extended period, which could cause claims and claim expenses to increase, impact the performance of our investment portfolio or have other adverse effects.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of our business in the future. To the extent we retain a larger share of our book of business, our capital requirements may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as a holding company, but our primary operations are conducted by two of our wholly-owned insurance subsidiaries, Root Insurance Company and Root Property &amp; Casualty Insurance Company, both Ohio-domiciled insurance companies. The payment of dividends by our insurance subsidiaries is subject to restrictions set forth in the insurance laws and regulations of the State of Ohio. To date, our insurance subsidiaries have not paid any dividends and as of December 31, 2023, they were not permitted to pay any dividends without approval of the applicable superintendent, commissioner and/or director.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December 31, 2023, our insurance subsidiaries maintained a risk-based capital level that is in excess of an amount that would require any corrective actions on our part.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wholly owned, Cayman Islands-based reinsurance subsidiary, Root Reinsurance Company, Ltd., or Root Re, maintains a Class B(iii) insurer license under Cayman Islands Monetary Authority, or CIMA. At December 31, 2023, Root Re was subject to compliance with certain capital levels and a net premiums earned to capital ratio of 15:1, which we maintained as of December 31, 2023.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consummated the transactions contemplated by the investment agreement with Carvana, or the Investment Agreement, that we entered into on August 11, 2021. We received $126.5 million of gross proceeds from the issuance of 14.1 million shares of redeemable convertible preferred stock designated as the Series A Convertible Preferred Stock. We also issued Carvana eight tranches of warrants to purchase shares of our Class A common stock. In connection with the Investment Agreement, we incurred issuance costs of $19.6 million. As of December 31, 2023, there was $3.0 million of unpaid issuance costs contingent upon certain warrant vesting milestones in connection with the Investment Agreement.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$678.7 million in cash and cash equivalents, of which $507.3 million was held outside of regulated insurance entities. We also had $166.8 million in marketable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cash expenditure related to employee compensation expense of $8.3 million, which was dependent upon continuous employment for certain employees, occurred in January 2024. For additional information regarding organizational realignment and involuntary workforce reductions refer to Note 10, “Restructuring Costs,” in the Notes to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Currently, our debt covenants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prudent deployment of capital we believe we have sufficient resources, and access to additional debt and equity capital, to adequately meet our obligations as they come due.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data for the periods presented:</w:t>
      </w:r>
    </w:p>
    <w:tbl>
      <w:tblPr>
        <w:tblW w:w="7842" w:type="dxa"/>
        <w:jc w:val="left"/>
        <w:tblInd w:w="0" w:type="dxa"/>
        <w:tblLayout w:type="fixed"/>
        <w:tblCellMar>
          <w:top w:w="28" w:type="dxa"/>
          <w:left w:w="28" w:type="dxa"/>
          <w:bottom w:w="28" w:type="dxa"/>
          <w:right w:w="28" w:type="dxa"/>
        </w:tblCellMar>
      </w:tblPr>
      <w:tblGrid>
        <w:gridCol w:w="1525"/>
        <w:gridCol w:w="1343"/>
        <w:gridCol w:w="1347"/>
        <w:gridCol w:w="211"/>
        <w:gridCol w:w="586"/>
        <w:gridCol w:w="109"/>
        <w:gridCol w:w="109"/>
        <w:gridCol w:w="109"/>
        <w:gridCol w:w="109"/>
        <w:gridCol w:w="211"/>
        <w:gridCol w:w="691"/>
        <w:gridCol w:w="109"/>
        <w:gridCol w:w="109"/>
        <w:gridCol w:w="109"/>
        <w:gridCol w:w="109"/>
        <w:gridCol w:w="211"/>
        <w:gridCol w:w="691"/>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16"/>
              </w:rPr>
              <w:t>For the Years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year ended December 31, 2023 was $33.6 million compared to $210.6 million of net cash used in operating activities for the year ended December 31, 2022. The decrease in cash used in operating activities was due to a decline in net loss, primarily due to an increase in net premiums earned and initiatives that reduced operating costs, including our prior year organizational realignment and involuntary workforce reductions that reduced payroll, employee-related expenditures and facility costs. Further, this was impacted by a strategic reduction of quota share reinsurance and commuting certain agreements with reinsurers. This was partially offset by timing of claims payments and reinsurance payments during the year ended December 31, 2023 compared to the same period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2023 was $45.7 million, compared to $16.6 million of net used in investing activities for the year ended December 31, 2022. The increase in cash used in investing activities was primarily due to purchases of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for the year ended December 31, 2023 was $4.1 million, compared to $283.3 million of net cash provided by financing activities for the year ended December 31, 2022. The change in net cash (used in) provided by financing activities was primarily due to proceeds from our Term Loan issued in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Comparison of Years Ended December 31, 2022 and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December 31, 2022 and 2021 net cash discussion can be found in Part II, Item 7, “Liquidity and Capital Resources,” of our Annual Report on Form 10-K.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from Contractual and Other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material cash requirements from known contractual and other obligations consisted of purchase commitments, as discussed in Note 13, “Commitments and Contingencies,” operating leases, as discussed in Note 8, “Leases,” and a Term Loan, as discussed in Note 7, “Long-Term Debt,” in the Notes to Consolidated Financial Statements. We believe we have sufficient resources, and access to additional debt and equity capital, to adequately meet our obligations as they come due.</w:t>
      </w:r>
    </w:p>
    <w:p>
      <w:pPr>
        <w:pStyle w:val="TextBody"/>
        <w:bidi w:val="0"/>
        <w:spacing w:lineRule="auto" w:line="288" w:before="0" w:after="0"/>
        <w:jc w:val="center"/>
        <w:rPr>
          <w:rFonts w:ascii="Arial;sans-serif" w:hAnsi="Arial;sans-serif"/>
          <w:b w:val="false"/>
          <w:color w:val="000000"/>
          <w:sz w:val="2"/>
        </w:rPr>
      </w:pPr>
      <w:r>
        <w:rPr>
          <w:rFonts w:ascii="Arial;sans-serif" w:hAnsi="Arial;sans-serif"/>
          <w:b w:val="false"/>
          <w:color w:val="000000"/>
          <w:sz w:val="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premium write-offs and allowance for expected credit losses on premium receivables and reinsurance recoverables.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estimates described below involve a significant degree of judgment and complexity. Accordingly, we believe these are the most critical to aid in fully understanding and evaluating our consolidated financial condition and results of operations. For further information, see Note 2, “Basis of Presentation and Summary of Significant Accounting Policies,” in the Notes to Consolidated Financial Statements.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Loss and LAE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LAE reserves represent management’s best estimate of the ultimate liability for all reported and unreported claims that occurred prior to the end of each accounting period but have not yet been paid. These reserves are established to cover the estimated ultimate cost to settle insured losses. Loss and LAE reserves include an amount determined using adjuster determined case-base estimates for reported claims and on actuarial unpaid claim estimates using past experience and historical emergence patterns for unreported loss and LAE. Case reserve amounts are determined by claims adjusters following our case reserving practices, which consider the circumstances presented with each claimant, applicable policy provisions, and state law. The unpaid claim estimates consider loss cost trends, mix of business, and other risk factors impacting claims settlement. The methods used to estimate ultimate loss reserves by accident month include reported loss development, paid loss development, expected loss ratio, frequency-severity, premium based Bornhuetter/Ferguson, or B/F, and exposure based B/F using frequency-severity. The method used to estimate unpaid LAE reserves is determined by a transaction-based allocation method where historical claim department activities are measured by their relative effort or cost for handling different claim types. Our estimation for unpaid LAE reserves includes the ultimate cost of settling a range of claim types from express material damage claims to more complex bodily injury cases.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 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six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Because actual experience can differ from key assumptions used in establishing reserves, there is potential for significant variation in the development of loss reserves. There is considerable uncertainty associated with the 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key assumptions that materially affect the estimate of the reserves for loss and LAE are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Many of the actuarial estimation methods assume that the speed of claim payments and claim closures, also known as cycle time, remains relatively consistent over time. While fluctuations and improvements in cycle time are expected as we grow, these timing changes can be difficult to discern from normal process risk variability in the data.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Actuarial methods that rely on exposure bases, such as premiums or car years, perform better when the mix of business is relatively stable over time.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Broader macro level economics can have a material impact on loss reserve estimates, such as a rapid change in miles driven, unanticipated inflation, regulatory restrictions, and legal developments as they relate to contract and coverage interpretation and enforceability.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noted below represents a range of reasonably likely reserves, not a range of all possible reserves. Therefore, the ultimate losses could reach levels corresponding to reserve amounts outside of the range provided. Given our growth from inception in 2015, we believe evaluating sensitivity based on a hypothetical increase or decrease of 5% and 10% is reflective of management’s best estimate and provides an illustrative range of variability in key assumptions. The below tables present this sensitivity analysis:</w:t>
      </w:r>
    </w:p>
    <w:tbl>
      <w:tblPr>
        <w:tblW w:w="9573" w:type="dxa"/>
        <w:jc w:val="left"/>
        <w:tblInd w:w="0" w:type="dxa"/>
        <w:tblLayout w:type="fixed"/>
        <w:tblCellMar>
          <w:top w:w="28" w:type="dxa"/>
          <w:left w:w="28" w:type="dxa"/>
          <w:bottom w:w="28" w:type="dxa"/>
          <w:right w:w="28" w:type="dxa"/>
        </w:tblCellMar>
      </w:tblPr>
      <w:tblGrid>
        <w:gridCol w:w="1283"/>
        <w:gridCol w:w="1124"/>
        <w:gridCol w:w="11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Scenarios for Changes in Bodily Injury Claim Severity for all Accident Years</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Bodily injury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Uninsured and underinsured bodily injury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coverages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losses—net of reinsurance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loss and LAE reserves are recorded net of external reinsurance and net of amounts expected to be received from salvage (the amount recovered from the damaged property after we pay for a total loss) and subrogation (the right to recover payments from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Premium Revenue, Fee Income and Related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 are deferred and earned pro rata over the policy period. Unearned 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policy acquisition costs and, if necessary, by accruing an additional liability for the deficiency, with a corresponding charge to operations. We did not record a premium deficiency reserve in 2023, 2022 or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 fronting arrangement with an unaffiliated Texas county mutual insurance company, or the fronting carrier. We route all of our new auto policies, and, over time, expect to route certain renewal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doubtful accounts based primarily on an analysis of historical collection experience, adjusted for current economic conditions. Allowance for credit losses was $4.0 million and $2.8 million as of December 31, 2023 and 2022, respectively, on the consolidated balance sheets. A policy is generally considered past due on the first day after its due date and policies greater than 90 days past due are written-off. We recognized premium write-offs, or bad debt expense, of $12.5 million, $17.4 million and $20.9 million for the years ended December 31, 2023, 2022 and 2021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those policyholders who pay premiums on an installment basis, we charge a flat fee for each installment related to the additional administrative costs associated with processing more frequent billings. We recognize this fee income in the period which we process each installment. We also charge policy fees, which are typically nonrefundable fees that are intended to reimburse a portion of the costs incurred to underwrite the policy. This fee income is recognized ratably over the policy coverage period. In addition, we charge late payment fees that are collected from our policyholders. This fee income is recognized in the period in which we process the late payment.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policy acquisition costs, which consists of premium taxes, certain marketing costs and underwriting expenses, and commission expenses related to our partnership channel, net of ceding commissions, related to the successful acquisition of new or renewal business,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policy acquisition costs. Any portion of the ceding commission that exceeds the acquisition costs of the business ceded is recorded as excess ceding commission, a deferred liability, and amortized over the same period in which the related premiums are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cede and retrocede a portion of our business written and assumed, respectively, to reinsurers to limit 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a reduction of unearned premiums in Note 6, “Reinsurance,” in the Notes to Consolidated Financial Statements. Ceding commissions earned in connection with reinsurance ceded have been accounted for as a reduction of other insurance expense (benefit) in the consolidated statements of operations and comprehensive 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reinsurance agreements provide for the amount of coverage based on loss experience, referred to as loss corridors and loss ratio caps. We recognize the asset or liability arising from these adjustable features in the period the adjustment occurs, which is calculated based on experience to-date under the agreement.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reinsurance from a diverse group of global reinsurers and monitor concentration as well as financial strength ratings of the reinsurers to minimize counterparty credit risk. For our reinsurance partners who are not rated, we require adequate levels of collateral or letters of credit to be available to us in the event of downside scenarios.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$1.8 million and $0.2 million as of December 31, 2023 and 2022,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Recoverability of Net Deferred Tax Assets</w:t>
      </w:r>
    </w:p>
    <w:p>
      <w:pPr>
        <w:pStyle w:val="TextBody"/>
        <w:bidi w:val="0"/>
        <w:spacing w:lineRule="auto" w:line="288" w:before="0" w:after="180"/>
        <w:jc w:val="left"/>
        <w:rPr/>
      </w:pPr>
      <w:r>
        <w:rPr>
          <w:rFonts w:ascii="Times New Roman;sans-serif" w:hAnsi="Times New Roman;sans-serif"/>
          <w:b w:val="false"/>
          <w:color w:val="000000"/>
          <w:sz w:val="20"/>
        </w:rPr>
        <w:t xml:space="preserve">We calculate the tax effects of temporary differences that give rise to deferred tax assets and deferred tax liabilities in accordance with Accounting Standards Codification 740, </w:t>
      </w: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 xml:space="preserve">or ASC 740. The application of ASC 740 requires a company to evaluate the recoverability of deferred tax assets and to establish a valuation allowance if necessary 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be unable to fully use our net operating losses, or NOLs, if at all. Under Section 382 of the Internal Revenue Code, or the Code, if a corporation undergoes an “ownership change”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We currently carry a valuation allowance against our entire net deferred tax asset. As such, any reduction in the deferred tax asset would also result in an offsetting reduction in the valuation allowance.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 ownership change. In connection with this ownership change, we do not expect that the limitation under Section 382 of the Code will result in any material reduction in our ability to use pre-ownership change NOLs in the future nor require a reduction in the associated deferred tax asset (or adjustment to the valuation allowance). We may still experience additional ownership changes in the future as a result of subsequent shifts in ownership, which could result in additional limitations on our NOL usage.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interest and credit rate risks as part of our ongoing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risk on our investment portfolio. Interest rate risk is the risk that we will incur losses due to adverse changes in interest rates relative to the interest rate characteristics of interest bearing assets and liabilities. Our fixed maturity investments include U.S. Treasury securities, municipal securities, corporate debt securities, residential mortgage-backed securities, commercial mortgage-backed securities, and other debt obligations portfolio, most of which are exposed to changes in prevailing interest rates and which may experience moderate fluctuations in fair value resulting from changes in interest rates. The fair market value of a portfolio of debt securities increases or decreases inversely with changes in market interest rates, while net investment income realized from future investments in debt securities increases or decreases along with interest rates. We monitor this exposure through periodic reviews of investment portfolio by our management.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exposed to interest rate risk through our term loan facility which incurs interest at floating rates based on changes in the SOFR. Rising interest rates could have an adverse impact on the cost of debt and results in less cash available to utilize in our operations, and could have a material adverse effect on our business and financial condition. A 1% fluctuation in SOFR would not have significantly impacted interest expense during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Credit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on our investment portfolio and our reinsurance contracts. Credit risk results from uncertainty in a counterparty’s ability to meet its obligations. We monitor our investment portfolio to ensure that credit risk does not exceed prudent levels. We manage the exposure to credit risk in our U.S. Treasury securities, municipal securities, corporate debt securities, residential mortgage-backed securities, commercial mortgage-backed securities, and other debt obligations portfolio by investing in high credit quality, investment grade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695"/>
        <w:gridCol w:w="2337"/>
        <w:gridCol w:w="2337"/>
        <w:gridCol w:w="827"/>
        <w:gridCol w:w="827"/>
        <w:gridCol w:w="1182"/>
      </w:tblGrid>
      <w:tr>
        <w:trPr/>
        <w:tc>
          <w:tcPr>
            <w:tcW w:w="269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INDEX TO THE CONSOLIDATED FINANCIAL STATEMENTS</w:t>
            </w:r>
          </w:p>
        </w:tc>
      </w:tr>
      <w:tr>
        <w:trPr/>
        <w:tc>
          <w:tcPr>
            <w:tcW w:w="7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27">
              <w:r>
                <w:rPr>
                  <w:rStyle w:val="InternetLink"/>
                  <w:rFonts w:ascii="Times New Roman;sans-serif" w:hAnsi="Times New Roman;sans-serif"/>
                  <w:b w:val="false"/>
                  <w:color w:val="000080"/>
                  <w:sz w:val="20"/>
                  <w:u w:val="single"/>
                </w:rPr>
                <w:t>Report of Independent Registered Public Accounting Firm</w:t>
              </w:r>
            </w:hyperlink>
            <w:r>
              <w:rPr>
                <w:rFonts w:ascii="Times New Roman;sans-serif" w:hAnsi="Times New Roman;sans-serif"/>
                <w:b w:val="false"/>
                <w:color w:val="0E32E1"/>
                <w:sz w:val="20"/>
                <w:u w:val="single"/>
              </w:rPr>
              <w:t xml:space="preserve"> (PCAOB ID: 34)</w:t>
            </w:r>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27">
              <w:r>
                <w:rPr>
                  <w:rStyle w:val="InternetLink"/>
                  <w:rFonts w:ascii="Times New Roman;sans-serif" w:hAnsi="Times New Roman;sans-serif"/>
                  <w:b w:val="false"/>
                  <w:color w:val="0000FF"/>
                  <w:sz w:val="20"/>
                  <w:u w:val="single"/>
                </w:rPr>
                <w:t>86</w:t>
              </w:r>
            </w:hyperlink>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30">
              <w:r>
                <w:rPr>
                  <w:rStyle w:val="InternetLink"/>
                  <w:rFonts w:ascii="Times New Roman;sans-serif" w:hAnsi="Times New Roman;sans-serif"/>
                  <w:b w:val="false"/>
                  <w:color w:val="0000FF"/>
                  <w:sz w:val="20"/>
                  <w:u w:val="single"/>
                </w:rPr>
                <w:t>Consolidated Balance Sheets</w:t>
              </w:r>
            </w:hyperlink>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30">
              <w:r>
                <w:rPr>
                  <w:rStyle w:val="InternetLink"/>
                  <w:rFonts w:ascii="Times New Roman;sans-serif" w:hAnsi="Times New Roman;sans-serif"/>
                  <w:b w:val="false"/>
                  <w:color w:val="0000FF"/>
                  <w:sz w:val="20"/>
                  <w:u w:val="single"/>
                </w:rPr>
                <w:t>88</w:t>
              </w:r>
            </w:hyperlink>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33">
              <w:r>
                <w:rPr>
                  <w:rStyle w:val="InternetLink"/>
                  <w:rFonts w:ascii="Times New Roman;sans-serif" w:hAnsi="Times New Roman;sans-serif"/>
                  <w:b w:val="false"/>
                  <w:color w:val="0000FF"/>
                  <w:sz w:val="20"/>
                  <w:u w:val="single"/>
                </w:rPr>
                <w:t>Consolidated Statements of Operations and Comprehensive Loss</w:t>
              </w:r>
            </w:hyperlink>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33">
              <w:r>
                <w:rPr>
                  <w:rStyle w:val="InternetLink"/>
                  <w:rFonts w:ascii="Times New Roman;sans-serif" w:hAnsi="Times New Roman;sans-serif"/>
                  <w:b w:val="false"/>
                  <w:color w:val="0000FF"/>
                  <w:sz w:val="20"/>
                  <w:u w:val="single"/>
                </w:rPr>
                <w:t>89</w:t>
              </w:r>
            </w:hyperlink>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36">
              <w:r>
                <w:rPr>
                  <w:rStyle w:val="InternetLink"/>
                  <w:rFonts w:ascii="Times New Roman;sans-serif" w:hAnsi="Times New Roman;sans-serif"/>
                  <w:b w:val="false"/>
                  <w:color w:val="0000FF"/>
                  <w:sz w:val="20"/>
                  <w:u w:val="single"/>
                </w:rPr>
                <w:t>Consolidated Statements of Redeemable Convertible Preferred Stock and Stockholders' Equity</w:t>
              </w:r>
            </w:hyperlink>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36">
              <w:r>
                <w:rPr>
                  <w:rStyle w:val="InternetLink"/>
                  <w:rFonts w:ascii="Times New Roman;sans-serif" w:hAnsi="Times New Roman;sans-serif"/>
                  <w:b w:val="false"/>
                  <w:color w:val="0000FF"/>
                  <w:sz w:val="20"/>
                  <w:u w:val="single"/>
                </w:rPr>
                <w:t>90</w:t>
              </w:r>
            </w:hyperlink>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45">
              <w:r>
                <w:rPr>
                  <w:rStyle w:val="InternetLink"/>
                  <w:rFonts w:ascii="Times New Roman;sans-serif" w:hAnsi="Times New Roman;sans-serif"/>
                  <w:b w:val="false"/>
                  <w:color w:val="0000FF"/>
                  <w:sz w:val="20"/>
                  <w:u w:val="single"/>
                </w:rPr>
                <w:t>Consolidated Statements of Cash Flows</w:t>
              </w:r>
            </w:hyperlink>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45">
              <w:r>
                <w:rPr>
                  <w:rStyle w:val="InternetLink"/>
                  <w:rFonts w:ascii="Times New Roman;sans-serif" w:hAnsi="Times New Roman;sans-serif"/>
                  <w:b w:val="false"/>
                  <w:color w:val="0000FF"/>
                  <w:sz w:val="20"/>
                  <w:u w:val="single"/>
                </w:rPr>
                <w:t>91</w:t>
              </w:r>
            </w:hyperlink>
          </w:p>
        </w:tc>
      </w:tr>
      <w:tr>
        <w:trPr/>
        <w:tc>
          <w:tcPr>
            <w:tcW w:w="73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cccd153c724ee5aedd9f932b765cce_148">
              <w:r>
                <w:rPr>
                  <w:rStyle w:val="InternetLink"/>
                  <w:rFonts w:ascii="Times New Roman;sans-serif" w:hAnsi="Times New Roman;sans-serif"/>
                  <w:b w:val="false"/>
                  <w:color w:val="0000FF"/>
                  <w:sz w:val="20"/>
                  <w:u w:val="single"/>
                </w:rPr>
                <w:t>Notes to Consolidated Financial Statements</w:t>
              </w:r>
            </w:hyperlink>
          </w:p>
        </w:tc>
        <w:tc>
          <w:tcPr>
            <w:tcW w:w="28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5cccd153c724ee5aedd9f932b765cce_148">
              <w:r>
                <w:rPr>
                  <w:rStyle w:val="InternetLink"/>
                  <w:rFonts w:ascii="Times New Roman;sans-serif" w:hAnsi="Times New Roman;sans-serif"/>
                  <w:b w:val="false"/>
                  <w:color w:val="0000FF"/>
                  <w:sz w:val="20"/>
                  <w:u w:val="single"/>
                </w:rPr>
                <w:t>92</w:t>
              </w:r>
            </w:hyperlink>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Schedules are omitted for the reason that they are not required, are not applicable or that equivalent information has been included in the consolidated financial statements or notes thereto or elsewhere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Root,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Root, Inc. and subsidiaries (the "Company") as of December 31, 2023 and 2022, the related consolidated statements of operations and comprehensive loss, redeemable convertible preferred stock and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21, 2024, expressed an unqualified opinion on the Company's internal control over financial reporting.</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Loss and Loss Adjustment Expense Reserves – Refer to Notes 2 and 5 to the financial statements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 represents the liability established to cover the estimated ultimate cost to settled insured losses. The Company’s estimation of the liability for loss and loss adjustment expense reserves is complex and includes subjective considerations and management’s judgement.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loss adjustment expense reserves are inherently uncertain. Because actual experience can differ from key assumptions used in establishing reserves, there is potential for significant variation in the development of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reserves, particularly related to those reserves where there is a longer time span between the incidence of a loss and the settlement of a claim. Given the subjectivity in estimating the ultimate loss and loss adjustment expense reserves, due to input variables such as historical and statistical information, inflation, contract interpretation, weather catastrophe impacts, regulatory environment, and economic conditions, among other factors, auditing loss and loss adjustment expense reserves, particularly related to those reserves with settlement over a longer period of time, involved an especially high degree of auditor judgment, including the need to involve our actuarial specialists.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loss and loss adjustment expense reserves included the following, among others:</w:t>
      </w:r>
    </w:p>
    <w:p>
      <w:pPr>
        <w:pStyle w:val="TextBody"/>
        <w:bidi w:val="0"/>
        <w:spacing w:lineRule="auto" w:line="268" w:before="0" w:after="180"/>
        <w:ind w:left="0" w:right="0" w:hanging="180"/>
        <w:jc w:val="both"/>
        <w:rPr/>
      </w:pPr>
      <w:r>
        <w:rPr>
          <w:color w:val="000000"/>
        </w:rPr>
        <w:t>•</w:t>
      </w:r>
      <w:r>
        <w:rPr>
          <w:rFonts w:ascii="Times New Roman;sans-serif" w:hAnsi="Times New Roman;sans-serif"/>
          <w:b w:val="false"/>
          <w:color w:val="000000"/>
          <w:sz w:val="20"/>
        </w:rPr>
        <w:t xml:space="preserve">We tested the effectiveness of controls related to loss and loss adjustment expense reserves, including those over the Company’s actuarial estimate. </w:t>
      </w:r>
    </w:p>
    <w:p>
      <w:pPr>
        <w:pStyle w:val="TextBody"/>
        <w:bidi w:val="0"/>
        <w:spacing w:lineRule="auto" w:line="268" w:before="0" w:after="180"/>
        <w:ind w:left="0" w:right="0" w:hanging="180"/>
        <w:jc w:val="both"/>
        <w:rPr/>
      </w:pPr>
      <w:r>
        <w:rPr>
          <w:color w:val="000000"/>
        </w:rPr>
        <w:t>•</w:t>
      </w:r>
      <w:r>
        <w:rPr>
          <w:rFonts w:ascii="Times New Roman;sans-serif" w:hAnsi="Times New Roman;sans-serif"/>
          <w:b w:val="false"/>
          <w:color w:val="000000"/>
          <w:sz w:val="20"/>
        </w:rPr>
        <w:t>We tested the completeness and accuracy of the underlying key data inputs that served as the basis for the actuarial estimate.</w:t>
      </w:r>
    </w:p>
    <w:p>
      <w:pPr>
        <w:pStyle w:val="TextBody"/>
        <w:bidi w:val="0"/>
        <w:spacing w:lineRule="auto" w:line="268" w:before="0" w:after="180"/>
        <w:ind w:left="0" w:right="0" w:hanging="180"/>
        <w:jc w:val="both"/>
        <w:rPr/>
      </w:pPr>
      <w:r>
        <w:rPr>
          <w:color w:val="000000"/>
        </w:rPr>
        <w:t>•</w:t>
      </w:r>
      <w:r>
        <w:rPr>
          <w:rFonts w:ascii="Times New Roman;sans-serif" w:hAnsi="Times New Roman;sans-serif"/>
          <w:b w:val="false"/>
          <w:color w:val="000000"/>
          <w:sz w:val="20"/>
        </w:rPr>
        <w:t>With the assistance of our actuarial specialists, we used the Company’s claims data to develop a range of independent estimates for the loss and loss adjustment expense reserves, particularly related to those with settlement over a longer period of time. We used these independent estimates to assess the reasonableness of the Company’s reserves by comparing our estimates to the Company’s recorded loss and loss adjustment expense reserves.</w:t>
      </w:r>
    </w:p>
    <w:p>
      <w:pPr>
        <w:pStyle w:val="TextBody"/>
        <w:bidi w:val="0"/>
        <w:spacing w:lineRule="auto" w:line="268" w:before="0" w:after="180"/>
        <w:ind w:left="0" w:right="0" w:hanging="180"/>
        <w:jc w:val="both"/>
        <w:rPr/>
      </w:pPr>
      <w:r>
        <w:rPr>
          <w:color w:val="000000"/>
        </w:rPr>
        <w:t>•</w:t>
      </w:r>
      <w:r>
        <w:rPr>
          <w:rFonts w:ascii="Times New Roman;sans-serif" w:hAnsi="Times New Roman;sans-serif"/>
          <w:b w:val="false"/>
          <w:color w:val="000000"/>
          <w:sz w:val="20"/>
        </w:rPr>
        <w:t>We compared the Company’s prior year estimates of expected loss and loss adjustment expense reserves to actual experience during the current year to identify potential bias in the determination of loss and loss adjustment expense reserves.</w:t>
      </w:r>
    </w:p>
    <w:tbl>
      <w:tblPr>
        <w:tblW w:w="2745" w:type="dxa"/>
        <w:jc w:val="left"/>
        <w:tblInd w:w="0" w:type="dxa"/>
        <w:tblLayout w:type="fixed"/>
        <w:tblCellMar>
          <w:top w:w="28" w:type="dxa"/>
          <w:left w:w="28" w:type="dxa"/>
          <w:bottom w:w="28" w:type="dxa"/>
          <w:right w:w="28" w:type="dxa"/>
        </w:tblCellMar>
      </w:tblPr>
      <w:tblGrid>
        <w:gridCol w:w="878"/>
        <w:gridCol w:w="772"/>
        <w:gridCol w:w="1095"/>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Columbus, Ohio</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669"/>
        <w:gridCol w:w="2351"/>
        <w:gridCol w:w="2372"/>
        <w:gridCol w:w="232"/>
        <w:gridCol w:w="848"/>
        <w:gridCol w:w="119"/>
        <w:gridCol w:w="119"/>
        <w:gridCol w:w="119"/>
        <w:gridCol w:w="119"/>
        <w:gridCol w:w="232"/>
        <w:gridCol w:w="848"/>
        <w:gridCol w:w="177"/>
      </w:tblGrid>
      <w:tr>
        <w:trPr/>
        <w:tc>
          <w:tcPr>
            <w:tcW w:w="266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2023 AND 2022</w:t>
            </w:r>
          </w:p>
        </w:tc>
      </w:tr>
      <w:tr>
        <w:trPr/>
        <w:tc>
          <w:tcPr>
            <w:tcW w:w="7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w:t>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 (amortized cost: $168.4 and $134.2 at December 31, 2023 and December 31, 2022, respectively)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(amortized cost: $0.9 and $0.4 at December 31, 2023 and December 31, 2022, respectively)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 of $4.0 and $2.8 at December 31, 2023 and December 31, 2022, respectively</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 net of allowance of $1.8 and $0.2 at December 31, 2023 and December 31, 2022, respectively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warrants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$0.0001 par value, 14.1 shares issued and outstanding at December 31, 2023 and December 31, 2022 (redemption value of $126.5) (Note 11)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9.5 and 9.2 shares issued and outstanding at December 31, 2023 and December 31, 2022, respectively (Note 11)</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convertible common stock, $0.0001 par value, 5.0 shares issued and outstanding at December 31, 2023 and December 31, 2022 (Note 11)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12"/>
        <w:gridCol w:w="1422"/>
        <w:gridCol w:w="1428"/>
        <w:gridCol w:w="312"/>
        <w:gridCol w:w="996"/>
        <w:gridCol w:w="160"/>
        <w:gridCol w:w="160"/>
        <w:gridCol w:w="160"/>
        <w:gridCol w:w="160"/>
        <w:gridCol w:w="312"/>
        <w:gridCol w:w="996"/>
        <w:gridCol w:w="160"/>
        <w:gridCol w:w="160"/>
        <w:gridCol w:w="160"/>
        <w:gridCol w:w="160"/>
        <w:gridCol w:w="312"/>
        <w:gridCol w:w="996"/>
        <w:gridCol w:w="239"/>
      </w:tblGrid>
      <w:tr>
        <w:trPr/>
        <w:tc>
          <w:tcPr>
            <w:tcW w:w="19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2023, 2022 AND 2021</w:t>
            </w:r>
          </w:p>
        </w:tc>
      </w:tr>
      <w:tr>
        <w:trPr/>
        <w:tc>
          <w:tcPr>
            <w:tcW w:w="4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830.6 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gains (losses) on investments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180"/>
        <w:jc w:val="left"/>
        <w:rPr/>
      </w:pPr>
      <w:r>
        <w:rPr/>
      </w:r>
    </w:p>
    <w:tbl>
      <w:tblPr>
        <w:tblW w:w="12794" w:type="dxa"/>
        <w:jc w:val="left"/>
        <w:tblInd w:w="0" w:type="dxa"/>
        <w:tblLayout w:type="fixed"/>
        <w:tblCellMar>
          <w:top w:w="28" w:type="dxa"/>
          <w:left w:w="28" w:type="dxa"/>
          <w:bottom w:w="28" w:type="dxa"/>
          <w:right w:w="28" w:type="dxa"/>
        </w:tblCellMar>
      </w:tblPr>
      <w:tblGrid>
        <w:gridCol w:w="600"/>
        <w:gridCol w:w="225"/>
        <w:gridCol w:w="226"/>
        <w:gridCol w:w="203"/>
        <w:gridCol w:w="203"/>
        <w:gridCol w:w="127"/>
        <w:gridCol w:w="109"/>
        <w:gridCol w:w="109"/>
        <w:gridCol w:w="109"/>
        <w:gridCol w:w="181"/>
        <w:gridCol w:w="466"/>
        <w:gridCol w:w="109"/>
        <w:gridCol w:w="109"/>
        <w:gridCol w:w="109"/>
        <w:gridCol w:w="109"/>
        <w:gridCol w:w="109"/>
        <w:gridCol w:w="109"/>
        <w:gridCol w:w="109"/>
        <w:gridCol w:w="236"/>
        <w:gridCol w:w="170"/>
        <w:gridCol w:w="171"/>
        <w:gridCol w:w="109"/>
        <w:gridCol w:w="109"/>
        <w:gridCol w:w="109"/>
        <w:gridCol w:w="236"/>
        <w:gridCol w:w="170"/>
        <w:gridCol w:w="171"/>
        <w:gridCol w:w="109"/>
        <w:gridCol w:w="109"/>
        <w:gridCol w:w="109"/>
        <w:gridCol w:w="181"/>
        <w:gridCol w:w="406"/>
        <w:gridCol w:w="109"/>
        <w:gridCol w:w="109"/>
        <w:gridCol w:w="109"/>
        <w:gridCol w:w="109"/>
        <w:gridCol w:w="203"/>
        <w:gridCol w:w="203"/>
        <w:gridCol w:w="171"/>
        <w:gridCol w:w="109"/>
        <w:gridCol w:w="109"/>
        <w:gridCol w:w="109"/>
        <w:gridCol w:w="181"/>
        <w:gridCol w:w="406"/>
        <w:gridCol w:w="109"/>
        <w:gridCol w:w="109"/>
        <w:gridCol w:w="109"/>
        <w:gridCol w:w="109"/>
        <w:gridCol w:w="181"/>
        <w:gridCol w:w="571"/>
        <w:gridCol w:w="109"/>
        <w:gridCol w:w="109"/>
        <w:gridCol w:w="109"/>
        <w:gridCol w:w="109"/>
        <w:gridCol w:w="297"/>
        <w:gridCol w:w="544"/>
        <w:gridCol w:w="180"/>
        <w:gridCol w:w="109"/>
        <w:gridCol w:w="109"/>
        <w:gridCol w:w="109"/>
        <w:gridCol w:w="181"/>
        <w:gridCol w:w="586"/>
        <w:gridCol w:w="109"/>
        <w:gridCol w:w="327"/>
        <w:gridCol w:w="194"/>
        <w:gridCol w:w="615"/>
        <w:gridCol w:w="167"/>
      </w:tblGrid>
      <w:tr>
        <w:trPr/>
        <w:tc>
          <w:tcPr>
            <w:tcW w:w="6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94"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ROOT, INC. AND SUBSIDIARIES</w:t>
            </w:r>
          </w:p>
        </w:tc>
      </w:tr>
      <w:tr>
        <w:trPr/>
        <w:tc>
          <w:tcPr>
            <w:tcW w:w="12794"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REDEEMABLE CONVERTIBLE PREFERRED STOCK AND STOCKHOLDERS’ EQUITY</w:t>
            </w:r>
          </w:p>
        </w:tc>
      </w:tr>
      <w:tr>
        <w:trPr/>
        <w:tc>
          <w:tcPr>
            <w:tcW w:w="12794" w:type="dxa"/>
            <w:gridSpan w:val="6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 2023, 2022 AND 2021</w:t>
            </w:r>
          </w:p>
        </w:tc>
      </w:tr>
      <w:tr>
        <w:trPr/>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Class A and 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3"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Balance—January 1, 2021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stock—option exercises and restricted stock units vesting, net of shares withheld for employee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early-exercised stock option to liabilities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stock—share-based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Retirement of treasury shares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issued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Preferred stock and related warrants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Balance—December 31, 2021</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536.4 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(297.7)</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Conversion of Class B to Class A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stock—option exercises and restricted stock units vesting, net of shares withheld for employee taxes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early-exercised stock option from liabilities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stock—share-based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Warrants issuance costs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Term Loan warrants issued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Balance—December 31,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(147.4)</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stock—option exercises and restricted stock units vesting, net of shares withheld for employee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Reclassification of early-exercised stock option from liabilities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stock—share-based compensation expense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Warrants issuance costs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Balance—December 31, 2023</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18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67"/>
        <w:gridCol w:w="1727"/>
        <w:gridCol w:w="1741"/>
        <w:gridCol w:w="263"/>
        <w:gridCol w:w="833"/>
        <w:gridCol w:w="146"/>
        <w:gridCol w:w="146"/>
        <w:gridCol w:w="146"/>
        <w:gridCol w:w="146"/>
        <w:gridCol w:w="263"/>
        <w:gridCol w:w="833"/>
        <w:gridCol w:w="146"/>
        <w:gridCol w:w="146"/>
        <w:gridCol w:w="146"/>
        <w:gridCol w:w="146"/>
        <w:gridCol w:w="263"/>
        <w:gridCol w:w="833"/>
        <w:gridCol w:w="214"/>
      </w:tblGrid>
      <w:tr>
        <w:trPr/>
        <w:tc>
          <w:tcPr>
            <w:tcW w:w="206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2023, 2022 and 2021</w:t>
            </w:r>
          </w:p>
        </w:tc>
      </w:tr>
      <w:tr>
        <w:trPr/>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 compensation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paid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realized gains on investments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receivable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recoverable and receivable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reinsurance premiums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and loss adjustment expenses reserves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premiums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Reinsurance premiums payable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call and pay downs of investments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investments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indefinite-lived intangible assets and transaction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internally developed software</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fixed assets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 and restricted stock units, net of tax (withholding)/ proceeds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preferred stock and related warrants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stock and related warrants issuance costs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2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 and related warrants, net of issuance costs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(decrease) increase in cash, cash equivalents and restricted cash </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year</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year</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NATURE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Inc. is a holding company which, directly or indirectly, maintains 100% ownership of each of its subsidiaries, including, among others, Root Insurance Company and Root Property &amp; Casualty Insurance Company, or Root Property &amp; Casualty, both Ohio-domiciled insurance companies, and Root Reinsurance Company, Ltd., a Cayman Islands-domiciled reinsurance company, together with Root, Inc., “we,” “us” or “our.”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We offer auto and renters insurance products underwritten by Root Insurance Company and Root Property &amp; Casualty.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BASIS OF PRESENTATION AND SUMMARY OF SIGNIFICANT ACCOUNTING POLICIES</w:t>
      </w:r>
    </w:p>
    <w:p>
      <w:pPr>
        <w:pStyle w:val="TextBody"/>
        <w:bidi w:val="0"/>
        <w:spacing w:lineRule="auto" w:line="288" w:before="0" w:after="180"/>
        <w:jc w:val="left"/>
        <w:rPr/>
      </w:pPr>
      <w:r>
        <w:rPr>
          <w:rFonts w:ascii="Times New Roman;sans-serif" w:hAnsi="Times New Roman;sans-serif"/>
          <w:b/>
          <w:color w:val="000000"/>
          <w:sz w:val="20"/>
        </w:rPr>
        <w:t>Basis of Presentation and Consolidation</w:t>
      </w:r>
      <w:r>
        <w:rPr>
          <w:color w:val="000000"/>
        </w:rPr>
        <w:t>—</w:t>
      </w:r>
      <w:r>
        <w:rPr>
          <w:rFonts w:ascii="Times New Roman;sans-serif" w:hAnsi="Times New Roman;sans-serif"/>
          <w:b w:val="false"/>
          <w:color w:val="000000"/>
          <w:sz w:val="20"/>
        </w:rPr>
        <w:t>The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bidi w:val="0"/>
        <w:spacing w:lineRule="auto" w:line="288" w:before="0" w:after="180"/>
        <w:jc w:val="left"/>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consolidated financial statements requires management to make certain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or LAE, valuation allowance for income taxes and allowance for expected credit losses on premium receivables and reinsurance recoverables.</w:t>
      </w:r>
    </w:p>
    <w:p>
      <w:pPr>
        <w:pStyle w:val="TextBody"/>
        <w:bidi w:val="0"/>
        <w:spacing w:lineRule="auto" w:line="288" w:before="0" w:after="180"/>
        <w:jc w:val="left"/>
        <w:rPr/>
      </w:pPr>
      <w:r>
        <w:rPr>
          <w:rFonts w:ascii="Times New Roman;sans-serif" w:hAnsi="Times New Roman;sans-serif"/>
          <w:b/>
          <w:color w:val="000000"/>
          <w:sz w:val="20"/>
        </w:rPr>
        <w:t>Reverse Stock Split</w:t>
      </w:r>
      <w:r>
        <w:rPr>
          <w:color w:val="000000"/>
        </w:rPr>
        <w:t xml:space="preserve">— </w:t>
      </w:r>
      <w:r>
        <w:rPr>
          <w:rFonts w:ascii="Times New Roman;sans-serif" w:hAnsi="Times New Roman;sans-serif"/>
          <w:b w:val="false"/>
          <w:color w:val="000000"/>
          <w:sz w:val="20"/>
        </w:rPr>
        <w:t>In August 2022, an authorized subcommittee of our board of directors approved a reverse stock split of our Class A and Class B 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Global Select Market.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reverse stock split, there was no change to the shares authorized or in the par value per share of $0.0001. In addition, there was no change to the number of shares issued or outstanding for our Series A Preferred Stock. The conversion price for our Series A Preferred Stock was adjusted to $162.00 and the exercise price and number of warrant shares for each of our outstanding warrants were also proportionately adjusted. Accordingly, all historical per share data, number of shares outstanding and other common stock equivalents for the periods presented in the accompanying consolidated financial statements and notes thereto have been adjusted retroactively, where applicable, to reflect the reverse stock split.</w:t>
      </w:r>
    </w:p>
    <w:p>
      <w:pPr>
        <w:pStyle w:val="TextBody"/>
        <w:bidi w:val="0"/>
        <w:spacing w:lineRule="auto" w:line="288" w:before="0" w:after="180"/>
        <w:jc w:val="left"/>
        <w:rPr/>
      </w:pPr>
      <w:r>
        <w:rPr>
          <w:rFonts w:ascii="Times New Roman;sans-serif" w:hAnsi="Times New Roman;sans-serif"/>
          <w:b/>
          <w:color w:val="000000"/>
          <w:sz w:val="20"/>
        </w:rPr>
        <w:t>Legal Contingencies—</w:t>
      </w:r>
      <w:r>
        <w:rPr>
          <w:rFonts w:ascii="Times New Roman;sans-serif" w:hAnsi="Times New Roman;sans-serif"/>
          <w:b w:val="false"/>
          <w:color w:val="000000"/>
          <w:sz w:val="20"/>
        </w:rPr>
        <w:t xml:space="preserve">From time to time, we are party to litigation and legal proceedings relating to our business operations. We consider legal actions relating to claims made in the ordinary course of seeking indemnification for a loss covered by the insurance policy in establishing loss and LAE reserves. In the ordinary course of business we also face certain lawsuits that seek damages beyond policy limits, or extra-contractual claims. </w:t>
      </w:r>
    </w:p>
    <w:p>
      <w:pPr>
        <w:pStyle w:val="TextBody"/>
        <w:bidi w:val="0"/>
        <w:spacing w:lineRule="auto" w:line="288" w:before="0" w:after="180"/>
        <w:jc w:val="left"/>
        <w:rPr/>
      </w:pPr>
      <w:r>
        <w:rPr>
          <w:rFonts w:ascii="Times New Roman;sans-serif" w:hAnsi="Times New Roman;sans-serif"/>
          <w:b w:val="false"/>
          <w:color w:val="000000"/>
          <w:sz w:val="20"/>
        </w:rPr>
        <w:t xml:space="preserve">We continually evaluate potential liabilities and reserves for litigation using the guidance issued in Financial Accounting Standards Board, or FASB, Accounting Standards Codification, or ASC, Topic 450,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xml:space="preserve">. Under this guidance, we may only record reserves for a loss if as of the date the financial statements are issued or available to be issued, the likelihood of occurrence is deemed probable and we can reasonably estimate the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the loss. When disclosing litigation or claims where a material loss is judged to be reasonably possible, we will disclose an estimated range of loss or state that an estimate cannot be made. We consider each legal action using this guidance and record reserves for losses as warranted by establishing a reserve in loss and loss adjustment expense reserves for extra-contractual claims and other liabilities for class action and other non-claims related lawsuits in our consolidated balance sheets. Any non-reinsurance related recoveries are recognized as other assets in our consolidated balance sheets. We record amounts within loss and loss adjustment expenses for extra-contractual claims and general and administrative for class action and other non-claims related lawsuits in our consolidated statements of operations and comprehensive loss. Further details are discussed in Note 13, “Commitments and Contingencies.”</w:t>
      </w:r>
    </w:p>
    <w:p>
      <w:pPr>
        <w:pStyle w:val="TextBody"/>
        <w:bidi w:val="0"/>
        <w:spacing w:lineRule="auto" w:line="288" w:before="0" w:after="180"/>
        <w:jc w:val="left"/>
        <w:rPr/>
      </w:pPr>
      <w:r>
        <w:rPr>
          <w:rFonts w:ascii="Times New Roman;sans-serif" w:hAnsi="Times New Roman;sans-serif"/>
          <w:b/>
          <w:color w:val="000000"/>
          <w:sz w:val="20"/>
        </w:rPr>
        <w:t>Debt and Equity Issuance Costs</w:t>
      </w:r>
      <w:r>
        <w:rPr>
          <w:color w:val="000000"/>
        </w:rPr>
        <w:t>—</w:t>
      </w:r>
      <w:r>
        <w:rPr>
          <w:rFonts w:ascii="Times New Roman;sans-serif" w:hAnsi="Times New Roman;sans-serif"/>
          <w:b w:val="false"/>
          <w:color w:val="000000"/>
          <w:sz w:val="20"/>
        </w:rPr>
        <w:t>Debt and equity issuance costs, which primarily consist of advisor, legal, accounting, and other third-party fees directly related to issuing debt and equity instruments, are capitalized as other assets in our consolidated balance sheets as incurred. We incurred such costs in connection with the investment agreement with Carvana Group, LLC, or Investment Agreement, that we entered into on August 21, 2021 and our $300.0 million five-year term loan, or Term Loan, that we entered into on January 26, 2022. Upon close of the related transaction, these deferred issuance costs are generally offset against the related proceeds. Debt issuance costs are subsequently amortized over the term of the financing agreement as interest expense on the consolidated statements of operations and comprehensive loss.</w:t>
      </w:r>
    </w:p>
    <w:p>
      <w:pPr>
        <w:pStyle w:val="TextBody"/>
        <w:bidi w:val="0"/>
        <w:spacing w:lineRule="auto" w:line="288" w:before="0" w:after="180"/>
        <w:jc w:val="left"/>
        <w:rPr/>
      </w:pPr>
      <w:r>
        <w:rPr>
          <w:rFonts w:ascii="Times New Roman;sans-serif" w:hAnsi="Times New Roman;sans-serif"/>
          <w:b/>
          <w:color w:val="000000"/>
          <w:sz w:val="20"/>
        </w:rPr>
        <w:t>Indefinite-Lived Intangible Assets</w:t>
      </w:r>
      <w:r>
        <w:rPr>
          <w:color w:val="000000"/>
        </w:rPr>
        <w:t>—</w:t>
      </w:r>
      <w:r>
        <w:rPr>
          <w:rFonts w:ascii="Times New Roman;sans-serif" w:hAnsi="Times New Roman;sans-serif"/>
          <w:b w:val="false"/>
          <w:color w:val="000000"/>
          <w:sz w:val="20"/>
        </w:rPr>
        <w:t>We had insurance licenses of $8.9 million, including transaction costs, as of December 31, 2023 and 2022 in other assets on the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We had $1.3 million, including transaction costs, as of December 31, 2023 and 2022 related to the purchase of the Root.com domain in March 2022, in other assets on the consolidated balance sheets. No impairment was recognized for 2023, 2022 or 2021 related to indefinite-lived intangible assets.</w:t>
      </w:r>
    </w:p>
    <w:p>
      <w:pPr>
        <w:pStyle w:val="TextBody"/>
        <w:bidi w:val="0"/>
        <w:spacing w:lineRule="auto" w:line="288" w:before="0" w:after="180"/>
        <w:jc w:val="left"/>
        <w:rPr/>
      </w:pPr>
      <w:r>
        <w:rPr>
          <w:rFonts w:ascii="Times New Roman;sans-serif" w:hAnsi="Times New Roman;sans-serif"/>
          <w:b/>
          <w:color w:val="000000"/>
          <w:sz w:val="20"/>
        </w:rPr>
        <w:t>Segment Information</w:t>
      </w:r>
      <w:r>
        <w:rPr>
          <w:color w:val="000000"/>
        </w:rPr>
        <w:t>—</w:t>
      </w:r>
      <w:r>
        <w:rPr>
          <w:rFonts w:ascii="Times New Roman;sans-serif" w:hAnsi="Times New Roman;sans-serif"/>
          <w:b w:val="false"/>
          <w:color w:val="000000"/>
          <w:sz w:val="20"/>
        </w:rPr>
        <w:t xml:space="preserve">Our chief operating decision maker is the Chief Executive Officer. The chief operating decision maker manages operations, allocates resources, and evaluates financial performance on a company-wide basis. We operate in one reporting segment providing insurance products to customers. </w:t>
      </w:r>
    </w:p>
    <w:p>
      <w:pPr>
        <w:pStyle w:val="TextBody"/>
        <w:bidi w:val="0"/>
        <w:spacing w:lineRule="auto" w:line="288" w:before="0" w:after="180"/>
        <w:jc w:val="left"/>
        <w:rPr/>
      </w:pPr>
      <w:r>
        <w:rPr>
          <w:rFonts w:ascii="Times New Roman;sans-serif" w:hAnsi="Times New Roman;sans-serif"/>
          <w:b/>
          <w:color w:val="000000"/>
          <w:sz w:val="20"/>
        </w:rPr>
        <w:t>Statement of Cash Flows</w:t>
      </w:r>
      <w:r>
        <w:rPr>
          <w:color w:val="000000"/>
        </w:rPr>
        <w:t>—</w:t>
      </w:r>
      <w:r>
        <w:rPr>
          <w:rFonts w:ascii="Times New Roman;sans-serif" w:hAnsi="Times New Roman;sans-serif"/>
          <w:b w:val="false"/>
          <w:color w:val="000000"/>
          <w:sz w:val="20"/>
        </w:rPr>
        <w:t>The supplemental disclosures for cash and non-cash flows for the years ended December 31, 2023, 2022 and 2021 are as follows:</w:t>
      </w:r>
    </w:p>
    <w:tbl>
      <w:tblPr>
        <w:tblW w:w="7887" w:type="dxa"/>
        <w:jc w:val="left"/>
        <w:tblInd w:w="0" w:type="dxa"/>
        <w:tblLayout w:type="fixed"/>
        <w:tblCellMar>
          <w:top w:w="28" w:type="dxa"/>
          <w:left w:w="28" w:type="dxa"/>
          <w:bottom w:w="28" w:type="dxa"/>
          <w:right w:w="28" w:type="dxa"/>
        </w:tblCellMar>
      </w:tblPr>
      <w:tblGrid>
        <w:gridCol w:w="1700"/>
        <w:gridCol w:w="1494"/>
        <w:gridCol w:w="1501"/>
        <w:gridCol w:w="211"/>
        <w:gridCol w:w="511"/>
        <w:gridCol w:w="109"/>
        <w:gridCol w:w="109"/>
        <w:gridCol w:w="109"/>
        <w:gridCol w:w="109"/>
        <w:gridCol w:w="211"/>
        <w:gridCol w:w="511"/>
        <w:gridCol w:w="109"/>
        <w:gridCol w:w="109"/>
        <w:gridCol w:w="109"/>
        <w:gridCol w:w="109"/>
        <w:gridCol w:w="211"/>
        <w:gridCol w:w="51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taxes paid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 - non-cash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arising from obtaining right-of-use asset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Agreement issuance costs - non-cash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color w:val="000000"/>
          <w:sz w:val="20"/>
        </w:rPr>
        <w:t>Cash, Cash Equivalents and Restricted Cash</w:t>
      </w:r>
      <w:r>
        <w:rPr>
          <w:color w:val="000000"/>
        </w:rPr>
        <w:t>—</w:t>
      </w:r>
      <w:r>
        <w:rPr>
          <w:rFonts w:ascii="Times New Roman;sans-serif" w:hAnsi="Times New Roman;sans-serif"/>
          <w:b w:val="false"/>
          <w:color w:val="000000"/>
          <w:sz w:val="20"/>
        </w:rPr>
        <w:t xml:space="preserve">Cash consists of cash on deposit. Cash equivalents are short-term, highly liquid investments that typically mature within three months from the date of origination or purchase and are principally stated at amortized cost, which approximates their fair value. Restricted cash consists of amounts held by a financial institution to satisfy letter of credit requirements for certain property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checks are issued in excess of cash balances in individual bank accounts, a book overdraft shall be reclassified to accounts payable on the 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consolidated balance sheets that sum to the total of the same such amount in the consolidated statements of cash flows:</w:t>
      </w:r>
    </w:p>
    <w:tbl>
      <w:tblPr>
        <w:tblW w:w="10205" w:type="dxa"/>
        <w:jc w:val="left"/>
        <w:tblInd w:w="0" w:type="dxa"/>
        <w:tblLayout w:type="fixed"/>
        <w:tblCellMar>
          <w:top w:w="28" w:type="dxa"/>
          <w:left w:w="28" w:type="dxa"/>
          <w:bottom w:w="28" w:type="dxa"/>
          <w:right w:w="28" w:type="dxa"/>
        </w:tblCellMar>
      </w:tblPr>
      <w:tblGrid>
        <w:gridCol w:w="2883"/>
        <w:gridCol w:w="2532"/>
        <w:gridCol w:w="2545"/>
        <w:gridCol w:w="211"/>
        <w:gridCol w:w="616"/>
        <w:gridCol w:w="109"/>
        <w:gridCol w:w="109"/>
        <w:gridCol w:w="109"/>
        <w:gridCol w:w="109"/>
        <w:gridCol w:w="211"/>
        <w:gridCol w:w="61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Investments</w:t>
      </w:r>
      <w:r>
        <w:rPr>
          <w:color w:val="000000"/>
        </w:rPr>
        <w:t>—</w:t>
      </w:r>
      <w:r>
        <w:rPr>
          <w:rFonts w:ascii="Times New Roman;sans-serif" w:hAnsi="Times New Roman;sans-serif"/>
          <w:b w:val="false"/>
          <w:color w:val="000000"/>
          <w:sz w:val="20"/>
        </w:rPr>
        <w:t>Investments in debt securities are classified as short-term and available-for-sale fixed maturity securities and are carried at fair value with any unrealized gains and losses, net of taxes, recorded as a component of accumulated other comprehensive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regularly reviews our securities for signs of impairment, an assessment requiring significant management judgment. The criteria that management considers are the financial condition of the issuer, including receipt of scheduled principal and interest cash flows, fair value of a security that has fallen below the amortized value, maturity dates, current economic conditions and intent to sell, including if it is more likely than not that we will be required to sell the security before recovery. We then assess whether the decline in value is due to non-credit related or credit related factors. Non-credit related declines in fair value are recorded as unrealized losses in accumulated other comprehensive income. If we determine that the decline is credit related, we establish an allowance for credit losses equal to the difference between the discounted cash flow model and the amortized value, which is recorded in net realized gains on investments in our consolidated statements of operations and comprehensive loss. This allowance may be subsequently adjusted for recoveries or further credit losses. No such credit losses were recognized in 2023, 2022 and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investments primarily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Such changes are accounted for within net investment income in our consolidated statements of operations and comprehensive loss.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invest in Low Income Housing Tax Credits, or LIHTC, projects by way of investing in a limited liability entity to offset Georgia premium taxes. The purpose of these investments is to encourage private capital investments into regions within Georgia that are in need of economic development, while providing tax credits and operating loss tax benefits to investors. We account for this investment using the cost method because our interest in the limited liability entity is minor and we have virtually no influence over the entity’s operating and financial policies. When we utilize the tax credits, the associated investment becomes impaired. Impairment of the investment is recognized within net investment income in our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Fair Value Measurements</w:t>
      </w:r>
      <w:r>
        <w:rPr>
          <w:color w:val="000000"/>
        </w:rPr>
        <w:t>—</w:t>
      </w:r>
      <w:r>
        <w:rPr>
          <w:rFonts w:ascii="Times New Roman;sans-serif" w:hAnsi="Times New Roman;sans-serif"/>
          <w:b w:val="false"/>
          <w:color w:val="000000"/>
          <w:sz w:val="20"/>
        </w:rPr>
        <w:t>Fair value is defined as the price that would be received upon selling an asset or the price paid to transfer a liability on the 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Level 1 - Financial assets and liabilities for which inputs are observable and are obtained from reliable quoted prices in active markets for identical assets and liabilities.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Level 3 - Financial assets and liabilities for which values are based on prices or valuation techniques that require inputs that are both unobservable and significant to the overall fair value measurement.</w:t>
      </w:r>
    </w:p>
    <w:p>
      <w:pPr>
        <w:pStyle w:val="TextBody"/>
        <w:bidi w:val="0"/>
        <w:spacing w:lineRule="auto" w:line="288" w:before="0" w:after="180"/>
        <w:jc w:val="left"/>
        <w:rPr/>
      </w:pPr>
      <w:r>
        <w:rPr>
          <w:rFonts w:ascii="Times New Roman;sans-serif" w:hAnsi="Times New Roman;sans-serif"/>
          <w:b/>
          <w:color w:val="000000"/>
          <w:sz w:val="20"/>
        </w:rPr>
        <w:t>Leases—</w:t>
      </w:r>
      <w:r>
        <w:rPr>
          <w:rFonts w:ascii="Times New Roman;sans-serif" w:hAnsi="Times New Roman;sans-serif"/>
          <w:b w:val="false"/>
          <w:color w:val="000000"/>
          <w:sz w:val="20"/>
        </w:rPr>
        <w:t xml:space="preserve">We record leases in accordance with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recognized a right-of-use asset and liability on the consolidated balance sheets for all leases, except for leases covering a period of fewer than 12 months.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 For additional information refer to Note 8, “Leases.”</w:t>
      </w:r>
    </w:p>
    <w:p>
      <w:pPr>
        <w:pStyle w:val="TextBody"/>
        <w:bidi w:val="0"/>
        <w:spacing w:lineRule="auto" w:line="288" w:before="0" w:after="180"/>
        <w:jc w:val="left"/>
        <w:rPr/>
      </w:pPr>
      <w:r>
        <w:rPr>
          <w:rFonts w:ascii="Times New Roman;sans-serif" w:hAnsi="Times New Roman;sans-serif"/>
          <w:b/>
          <w:color w:val="000000"/>
          <w:sz w:val="20"/>
        </w:rPr>
        <w:t>Premiums, Premiums Receivable and Premium Write-offs</w:t>
      </w:r>
      <w:r>
        <w:rPr>
          <w:color w:val="000000"/>
        </w:rPr>
        <w:t>—</w:t>
      </w:r>
      <w:r>
        <w:rPr>
          <w:rFonts w:ascii="Times New Roman;sans-serif" w:hAnsi="Times New Roman;sans-serif"/>
          <w:b w:val="false"/>
          <w:color w:val="000000"/>
          <w:sz w:val="20"/>
        </w:rPr>
        <w:t>Premiums written are deferred and earned pro rata over the policy period. Unearned 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policy acquisition costs and, if necessary, by accruing an additional liability for the deficiency, with a corresponding charge to operations. We did not record a premium deficiency reserve in 2023, 2022 or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Unaffiliated premiums payable are amounts owed to the fronting carrier for premiums assumed and are recorded in other liabilities on the consolidated balance sheets. Unaffiliated premiums payable was $60.5 million and $14.2 million as of December 31, 2023 and 2022, respectively. Unaffiliated reinsurance premiums receivable are the amounts owed to us from the fronting carrier for reinsurance premiums and are recorded in reinsurance recoverable and receivable on the consolidated balance sheets. Unaffiliated reinsurance premiums receivable was $59.2 million and $14.1 million as of December 31, 2023 and 2022,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expected credit losses based primarily on an analysis of historical collection experience, adjusted for current economic conditions. Allowance for credit losses was $4.0 million and $2.8 million as of December 31, 2023 and 2022, respectively, on the consolidated balance sheets. A policy is considered past due on the first day after its due date and policies greater than 90 days past due are written-off. We recognized bad debt expense of $12.5 million, $17.4 million and $20.9 million for the years ended December 31, 2023, 2022 and 2021, respectively. </w:t>
      </w:r>
    </w:p>
    <w:p>
      <w:pPr>
        <w:pStyle w:val="TextBody"/>
        <w:bidi w:val="0"/>
        <w:spacing w:lineRule="auto" w:line="288" w:before="0" w:after="180"/>
        <w:jc w:val="left"/>
        <w:rPr/>
      </w:pPr>
      <w:r>
        <w:rPr>
          <w:rFonts w:ascii="Times New Roman;sans-serif" w:hAnsi="Times New Roman;sans-serif"/>
          <w:b/>
          <w:color w:val="000000"/>
          <w:sz w:val="20"/>
        </w:rPr>
        <w:t>Fee Income</w:t>
      </w:r>
      <w:r>
        <w:rPr>
          <w:color w:val="000000"/>
        </w:rPr>
        <w:t>—</w:t>
      </w:r>
      <w:r>
        <w:rPr>
          <w:rFonts w:ascii="Times New Roman;sans-serif" w:hAnsi="Times New Roman;sans-serif"/>
          <w:b w:val="false"/>
          <w:color w:val="000000"/>
          <w:sz w:val="20"/>
        </w:rPr>
        <w:t xml:space="preserve">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ratably over the policy coverage period. Fee income also includes late payment fees that are collected from our policyholders. These fees are recognized in the period in which we process the late payment.</w:t>
      </w:r>
    </w:p>
    <w:p>
      <w:pPr>
        <w:pStyle w:val="TextBody"/>
        <w:bidi w:val="0"/>
        <w:spacing w:lineRule="auto" w:line="288" w:before="0" w:after="180"/>
        <w:jc w:val="left"/>
        <w:rPr/>
      </w:pPr>
      <w:r>
        <w:rPr>
          <w:rFonts w:ascii="Times New Roman;sans-serif" w:hAnsi="Times New Roman;sans-serif"/>
          <w:b/>
          <w:color w:val="000000"/>
          <w:sz w:val="20"/>
        </w:rPr>
        <w:t>Other Income</w:t>
      </w:r>
      <w:r>
        <w:rPr>
          <w:color w:val="000000"/>
        </w:rPr>
        <w:t>—</w:t>
      </w:r>
      <w:r>
        <w:rPr>
          <w:rFonts w:ascii="Times New Roman;sans-serif" w:hAnsi="Times New Roman;sans-serif"/>
          <w:b w:val="false"/>
          <w:color w:val="000000"/>
          <w:sz w:val="20"/>
        </w:rPr>
        <w:t>Other income is comprised of revenue earned from distributing website and app policy inquiry leads in geographies where we do not have a presence, recognized when we generate the lead; and commissions earned for homeowners policies placed with third-party insurance companies where we have no exposure to the insured risk, recognized on the effective date of the associated policy.</w:t>
      </w:r>
    </w:p>
    <w:p>
      <w:pPr>
        <w:pStyle w:val="TextBody"/>
        <w:bidi w:val="0"/>
        <w:spacing w:lineRule="auto" w:line="288" w:before="0" w:after="180"/>
        <w:jc w:val="left"/>
        <w:rPr/>
      </w:pPr>
      <w:r>
        <w:rPr>
          <w:rFonts w:ascii="Times New Roman;sans-serif" w:hAnsi="Times New Roman;sans-serif"/>
          <w:b/>
          <w:color w:val="000000"/>
          <w:sz w:val="20"/>
        </w:rPr>
        <w:t>Sales and Marketing</w:t>
      </w:r>
      <w:r>
        <w:rPr>
          <w:color w:val="000000"/>
        </w:rPr>
        <w:t>—</w:t>
      </w:r>
      <w:r>
        <w:rPr>
          <w:rFonts w:ascii="Times New Roman;sans-serif" w:hAnsi="Times New Roman;sans-serif"/>
          <w:b w:val="false"/>
          <w:color w:val="000000"/>
          <w:sz w:val="20"/>
        </w:rPr>
        <w:t>Sales and marketing includes expenses related to direct performance marketing, channel media, advertising, sponsorship, referral fees and partnership channel. These expenses also include related salaries, health benefits, bonuses, employee retirement plan-related expenses and employee share-based compensation expense, or Personnel Costs, and overhead allocated based on headcount, or Overhead, related to our brand strategy, creative and business development activities and certain warrant compensation expense related to our embedded channel. We incur sales and marketing expenses for all product offerings. Sales and marketing costs are expensed as incurred. Certain warrant compensation expense is recognized on a pro-rata basis considering progress toward completing the integrated automobile insurance solution for Carvana Group, LLC’s, or Carvana’s, online car buying platform, or Integrated Platform, under the Carvana commercial agreement.</w:t>
      </w:r>
    </w:p>
    <w:p>
      <w:pPr>
        <w:pStyle w:val="TextBody"/>
        <w:bidi w:val="0"/>
        <w:spacing w:lineRule="auto" w:line="288" w:before="0" w:after="180"/>
        <w:jc w:val="left"/>
        <w:rPr/>
      </w:pPr>
      <w:r>
        <w:rPr>
          <w:rFonts w:ascii="Times New Roman;sans-serif" w:hAnsi="Times New Roman;sans-serif"/>
          <w:b/>
          <w:color w:val="000000"/>
          <w:sz w:val="20"/>
        </w:rPr>
        <w:t>Other Insurance Expense (Benefit)</w:t>
      </w:r>
      <w:r>
        <w:rPr>
          <w:color w:val="000000"/>
        </w:rPr>
        <w:t>—</w:t>
      </w:r>
      <w:r>
        <w:rPr>
          <w:rFonts w:ascii="Times New Roman;sans-serif" w:hAnsi="Times New Roman;sans-serif"/>
          <w:b w:val="false"/>
          <w:color w:val="000000"/>
          <w:sz w:val="20"/>
        </w:rPr>
        <w:t>Other insurance expense (benefit) includes underwriting expenses, commission expenses related to our partnership channel, premium taxes, credit card and policy processing expenses, premium write-offs, insurance license expenses, certain warrant compensation expense related to our embedded channel,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Other insurance expense (benefit) is expensed as incurred, except for costs related to deferred policy acquisition costs that are capitalized and subsequently amortized over the same period in which the related premiums are earned. Certain warrant compensation expense is recognized on a pro-rata basis for policies originated from the Integrated Platform towards milestones as defined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expenses are also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(benefit). </w:t>
      </w:r>
    </w:p>
    <w:p>
      <w:pPr>
        <w:pStyle w:val="TextBody"/>
        <w:bidi w:val="0"/>
        <w:spacing w:lineRule="auto" w:line="288" w:before="0" w:after="180"/>
        <w:jc w:val="left"/>
        <w:rPr/>
      </w:pPr>
      <w:r>
        <w:rPr>
          <w:rFonts w:ascii="Times New Roman;sans-serif" w:hAnsi="Times New Roman;sans-serif"/>
          <w:b/>
          <w:color w:val="000000"/>
          <w:sz w:val="20"/>
        </w:rPr>
        <w:t>Technology and development</w:t>
      </w:r>
      <w:r>
        <w:rPr>
          <w:color w:val="000000"/>
        </w:rPr>
        <w:t>—</w:t>
      </w:r>
      <w:r>
        <w:rPr>
          <w:rFonts w:ascii="Times New Roman;sans-serif" w:hAnsi="Times New Roman;sans-serif"/>
          <w:b w:val="false"/>
          <w:color w:val="000000"/>
          <w:sz w:val="20"/>
        </w:rPr>
        <w:t>Technology and development expense consists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pStyle w:val="TextBody"/>
        <w:bidi w:val="0"/>
        <w:spacing w:lineRule="auto" w:line="288" w:before="0" w:after="180"/>
        <w:jc w:val="left"/>
        <w:rPr/>
      </w:pPr>
      <w:r>
        <w:rPr>
          <w:rFonts w:ascii="Times New Roman;sans-serif" w:hAnsi="Times New Roman;sans-serif"/>
          <w:b/>
          <w:color w:val="000000"/>
          <w:sz w:val="20"/>
        </w:rPr>
        <w:t>General and Administrative</w:t>
      </w:r>
      <w:r>
        <w:rPr>
          <w:color w:val="000000"/>
        </w:rPr>
        <w:t>—</w:t>
      </w: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write-offs; and restructuring costs which include employee costs, real estate exit costs and other costs. General and administrative expenses are expensed as incurred.</w:t>
      </w:r>
    </w:p>
    <w:p>
      <w:pPr>
        <w:pStyle w:val="TextBody"/>
        <w:bidi w:val="0"/>
        <w:spacing w:lineRule="auto" w:line="288" w:before="0" w:after="180"/>
        <w:jc w:val="left"/>
        <w:rPr/>
      </w:pPr>
      <w:r>
        <w:rPr>
          <w:rFonts w:ascii="Times New Roman;sans-serif" w:hAnsi="Times New Roman;sans-serif"/>
          <w:b/>
          <w:color w:val="000000"/>
          <w:sz w:val="20"/>
        </w:rPr>
        <w:t>Deferred Policy Acquisition Costs</w:t>
      </w:r>
      <w:r>
        <w:rPr>
          <w:color w:val="000000"/>
        </w:rPr>
        <w:t>—</w:t>
      </w:r>
      <w:r>
        <w:rPr>
          <w:rFonts w:ascii="Times New Roman;sans-serif" w:hAnsi="Times New Roman;sans-serif"/>
          <w:b w:val="false"/>
          <w:color w:val="000000"/>
          <w:sz w:val="20"/>
        </w:rPr>
        <w:t xml:space="preserve">Acquisition costs consist primarily of premium taxes, certain marketing costs and underwriting expenses, and commission expenses related to our partnership channel,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policy acquisition costs. Any portion of the ceding commission that exceeds the acquisition costs of the business ceded is recorded as excess ceding commission, a deferred liability, and amortized over the same period in which the related premiums are earned. Deferred policy acquisition costs, net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 was $18.0 million and $6.7 million as of December 31, 2023 and 2022, respectively. We amortized deferred policy acquisition costs of $35.1 million, $22.5 million and $26.4 million for the years ended December 31, 2023, 2022 and 2021, respectively.</w:t>
      </w:r>
    </w:p>
    <w:p>
      <w:pPr>
        <w:pStyle w:val="TextBody"/>
        <w:bidi w:val="0"/>
        <w:spacing w:lineRule="auto" w:line="288" w:before="0" w:after="180"/>
        <w:jc w:val="left"/>
        <w:rPr/>
      </w:pPr>
      <w:r>
        <w:rPr>
          <w:rFonts w:ascii="Times New Roman;sans-serif" w:hAnsi="Times New Roman;sans-serif"/>
          <w:b/>
          <w:color w:val="000000"/>
          <w:sz w:val="20"/>
        </w:rPr>
        <w:t>Loss and Loss Adjustment Expense and Reserves</w:t>
      </w:r>
      <w:r>
        <w:rPr>
          <w:color w:val="000000"/>
        </w:rPr>
        <w:t>—</w:t>
      </w: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reserves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estimation of the liability for loss and LAE reserves is complex and includes subjective considerations and management’s judgement. The actuarial methods to determine unpaid loss es</w:t>
      </w:r>
      <w:r>
        <w:rPr>
          <w:rFonts w:ascii="Times New Roman;sans-serif" w:hAnsi="Times New Roman;sans-serif"/>
          <w:b w:val="false"/>
          <w:color w:val="000000"/>
          <w:sz w:val="20"/>
          <w:shd w:fill="FFFFFF" w:val="clear"/>
        </w:rPr>
        <w:t xml:space="preserve">timates consider loss trends, contract interpretation, mix of business, regulatory environment, economic conditions, inflation and other risk factors impacting claims settlement. The method used to estimate unpaid LAE liability is based on claims transaction data, including the relative cost of adjusting and settling a range of claim types from express material damage claims to more complex injury cases. </w:t>
      </w:r>
      <w:r>
        <w:rPr>
          <w:rFonts w:ascii="Times New Roman;sans-serif" w:hAnsi="Times New Roman;sans-serif"/>
          <w:b w:val="false"/>
          <w:color w:val="000000"/>
          <w:sz w:val="20"/>
        </w:rPr>
        <w:t xml:space="preserve">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in our consolidated statements of operations and comprehensive loss. As such, loss and LAE reserves represent management’s best estimate of the ultimate liability related to reported and unreported claims.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loss and LAE reserves are recorded gross of reinsurance and net of amounts expected to be received from salvage (the amount recovered from a total loss claims expense) and subrogation (the right to recover payments from third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are recorded net of amounts ceded to reinsurers. We enter into reinsurance contracts to limit our exposure to potential losses as well as to provide additional capacity to write more business. Loss and LAE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 Various other expenses incurred during claims processing are allocated to LAE. These amounts include claims Personnel Costs, vendor expenses, software expense, internally developed software amortization, and Overhead.</w:t>
      </w:r>
    </w:p>
    <w:p>
      <w:pPr>
        <w:pStyle w:val="TextBody"/>
        <w:bidi w:val="0"/>
        <w:spacing w:lineRule="auto" w:line="288" w:before="0" w:after="180"/>
        <w:jc w:val="left"/>
        <w:rPr/>
      </w:pPr>
      <w:r>
        <w:rPr>
          <w:rFonts w:ascii="Times New Roman;sans-serif" w:hAnsi="Times New Roman;sans-serif"/>
          <w:b/>
          <w:color w:val="000000"/>
          <w:sz w:val="20"/>
        </w:rPr>
        <w:t>Reinsurance</w:t>
      </w:r>
      <w:r>
        <w:rPr>
          <w:color w:val="000000"/>
        </w:rPr>
        <w:t>—</w:t>
      </w:r>
      <w:r>
        <w:rPr>
          <w:rFonts w:ascii="Times New Roman;sans-serif" w:hAnsi="Times New Roman;sans-serif"/>
          <w:b w:val="false"/>
          <w:color w:val="000000"/>
          <w:sz w:val="20"/>
        </w:rPr>
        <w:t xml:space="preserve">In the ordinary course of business, we cede and retrocede a portion of our business written and assumed, respectively, to reinsurers to limit 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Over time, our strategy continues to evolve and we may choose to amend, commute, and/or non-renew certain third-party reinsurance agreements, which may result in us retaining more of our business in the future.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expense (benefit) in the consolidated statements of operations and comprehensive loss.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reinsurance agreements provide for adjustment of amount of coverage based on loss experience. We recognize the asset or liability arising from these adjustable features in the period the adjustment occurs, which is calculated based on experience to date under the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$1.8 million and $0.2 million as of December 31, 2023 and 2022, respectively.</w:t>
      </w:r>
    </w:p>
    <w:p>
      <w:pPr>
        <w:pStyle w:val="TextBody"/>
        <w:bidi w:val="0"/>
        <w:spacing w:lineRule="auto" w:line="288" w:before="0" w:after="180"/>
        <w:jc w:val="left"/>
        <w:rPr/>
      </w:pPr>
      <w:r>
        <w:rPr>
          <w:rFonts w:ascii="Times New Roman;sans-serif" w:hAnsi="Times New Roman;sans-serif"/>
          <w:b/>
          <w:color w:val="000000"/>
          <w:sz w:val="20"/>
        </w:rPr>
        <w:t>Income Taxes</w:t>
      </w:r>
      <w:r>
        <w:rPr>
          <w:color w:val="000000"/>
        </w:rPr>
        <w:t>—</w:t>
      </w:r>
      <w:r>
        <w:rPr>
          <w:rFonts w:ascii="Times New Roman;sans-serif" w:hAnsi="Times New Roman;sans-serif"/>
          <w:b w:val="false"/>
          <w:color w:val="000000"/>
          <w:sz w:val="20"/>
        </w:rPr>
        <w:t>For the 2023 tax year, we will file a consolidated federal income tax return with Caret Holdings, Inc., Root Insurance Company, Root Property &amp; Casualty, Root Lone Star Insurance Agency, Inc. and Root Reinsurance Company, Ltd. The consolidated return also includes Root Insurance Agency, LLC, Root Enterprise, LLC and Root Scout, LLC, which are disregarded entities under Caret Holdings, Inc. for federal income tax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0" w:after="180"/>
        <w:jc w:val="left"/>
        <w:rPr/>
      </w:pPr>
      <w:r>
        <w:rPr>
          <w:rFonts w:ascii="Times New Roman;sans-serif" w:hAnsi="Times New Roman;sans-serif"/>
          <w:b w:val="false"/>
          <w:color w:val="000000"/>
          <w:sz w:val="20"/>
        </w:rPr>
        <w:t xml:space="preserve">Deferred tax assets are recognized as allowed under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We establish a valuation allowance when there is more likely than not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$356.4 million and $322.3 million was established as of December 31, 2023 and 2022, respectively. Further details are discussed in Note 9, “Income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2023 and 2022, we did not have any unrecognized tax benefits for uncertain tax positions and had no accrued interest or penalties related to uncertain tax positions.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or IRA, of 2022 was enacted on August 16, 2022. The IRA introduces a new corporate alternative minimum tax, or CAMT, which generally imposes a 15% minimum tax on the adjusted financial statement income, or AFSI, of large corporations whose three year average annual AFSI exceeds $1.0 billion, or applicable corporations, applies for tax years beginning after December 31, 2022. For the year ended December 31, 2023, we nor our subsidiaries had a three year average annual AFSI exceeding $1.0 billion. As such, we are not an applicable corporation nor subject to CAMT as of December 31, 2023.</w:t>
      </w:r>
    </w:p>
    <w:p>
      <w:pPr>
        <w:pStyle w:val="TextBody"/>
        <w:bidi w:val="0"/>
        <w:spacing w:lineRule="auto" w:line="288" w:before="0" w:after="180"/>
        <w:jc w:val="left"/>
        <w:rPr/>
      </w:pPr>
      <w:r>
        <w:rPr>
          <w:rFonts w:ascii="Times New Roman;sans-serif" w:hAnsi="Times New Roman;sans-serif"/>
          <w:b/>
          <w:color w:val="000000"/>
          <w:sz w:val="20"/>
        </w:rPr>
        <w:t>Internally Developed Software</w:t>
      </w:r>
      <w:r>
        <w:rPr>
          <w:color w:val="000000"/>
        </w:rPr>
        <w:t>—</w:t>
      </w:r>
      <w:r>
        <w:rPr>
          <w:rFonts w:ascii="Times New Roman;sans-serif" w:hAnsi="Times New Roman;sans-serif"/>
          <w:b w:val="false"/>
          <w:color w:val="000000"/>
          <w:sz w:val="20"/>
        </w:rPr>
        <w:t>We review our software development activity and capitalize costs during the application development phase under ASC 350-40,</w:t>
      </w:r>
      <w:r>
        <w:rPr>
          <w:color w:val="000000"/>
        </w:rPr>
        <w:t xml:space="preserve"> </w:t>
      </w:r>
      <w:r>
        <w:rPr>
          <w:rFonts w:ascii="Times New Roman;sans-serif" w:hAnsi="Times New Roman;sans-serif"/>
          <w:b w:val="false"/>
          <w:i/>
          <w:color w:val="000000"/>
          <w:sz w:val="20"/>
        </w:rPr>
        <w:t>Internal-Use Software.</w:t>
      </w:r>
      <w:r>
        <w:rPr>
          <w:color w:val="000000"/>
        </w:rPr>
        <w:t xml:space="preserve"> </w:t>
      </w:r>
      <w:r>
        <w:rPr>
          <w:rFonts w:ascii="Times New Roman;sans-serif" w:hAnsi="Times New Roman;sans-serif"/>
          <w:b w:val="false"/>
          <w:color w:val="000000"/>
          <w:sz w:val="20"/>
        </w:rPr>
        <w:t>These costs are amortized on a straight-line basis over a five-year period. Internally developed software costs are assessed for impairment at least quarterly, which also ensures that the assets are still in service. If there are assets identified as no longer in use, the remaining unamortized costs will be fully amortized. We amortized internally developed software of $6.3 million, $5.0 million and $3.7 million for the years ended December 31, 2023, 2022 and 2021, respectively. The capitalized cost and accumulated amortization of internally developed software in other assets in our consolidated balance sheets at December 31, 2023 and 2022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180"/>
        <w:jc w:val="left"/>
        <w:rPr/>
      </w:pPr>
      <w:r>
        <w:rPr/>
      </w:r>
    </w:p>
    <w:tbl>
      <w:tblPr>
        <w:tblW w:w="4914" w:type="dxa"/>
        <w:jc w:val="left"/>
        <w:tblInd w:w="0" w:type="dxa"/>
        <w:tblLayout w:type="fixed"/>
        <w:tblCellMar>
          <w:top w:w="28" w:type="dxa"/>
          <w:left w:w="28" w:type="dxa"/>
          <w:bottom w:w="28" w:type="dxa"/>
          <w:right w:w="28" w:type="dxa"/>
        </w:tblCellMar>
      </w:tblPr>
      <w:tblGrid>
        <w:gridCol w:w="1042"/>
        <w:gridCol w:w="918"/>
        <w:gridCol w:w="920"/>
        <w:gridCol w:w="211"/>
        <w:gridCol w:w="511"/>
        <w:gridCol w:w="109"/>
        <w:gridCol w:w="109"/>
        <w:gridCol w:w="109"/>
        <w:gridCol w:w="109"/>
        <w:gridCol w:w="211"/>
        <w:gridCol w:w="51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 developed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color w:val="000000"/>
          <w:sz w:val="20"/>
        </w:rPr>
        <w:t>Fixed Assets</w:t>
      </w:r>
      <w:r>
        <w:rPr>
          <w:color w:val="000000"/>
        </w:rPr>
        <w:t>—</w:t>
      </w:r>
      <w:r>
        <w:rPr>
          <w:rFonts w:ascii="Times New Roman;sans-serif" w:hAnsi="Times New Roman;sans-serif"/>
          <w:b w:val="false"/>
          <w:color w:val="000000"/>
          <w:sz w:val="20"/>
        </w:rPr>
        <w:t>Fixed Assets are carried at cost, net of accumulated depreciation. We capitalize purchases of certain fixed assets, including computers, furniture, and leasehold improvements. Depreciation on computers and furniture is recognized on a straight-line basis over a useful life of three years and five years, respectively. Depreciation on leasehold improvements is recognized on a straight-line basis over the shorter of their useful life or the life of the lease. When certain events or changes in operating conditions occur, an impairment assessment may be performed on the recoverability of the carrying amounts. For the years ended December 31, 2023, 2022 and 2021, depreciation expense was $1.5 million, $2.1 million and $4.6 million, respectively. The capitalized cost and accumulated depreciation of fixed assets in other assets in our consolidated balance sheets at December 31, 2023 and 2022 are as follows:</w:t>
      </w:r>
    </w:p>
    <w:tbl>
      <w:tblPr>
        <w:tblW w:w="4088" w:type="dxa"/>
        <w:jc w:val="left"/>
        <w:tblInd w:w="0" w:type="dxa"/>
        <w:tblLayout w:type="fixed"/>
        <w:tblCellMar>
          <w:top w:w="28" w:type="dxa"/>
          <w:left w:w="28" w:type="dxa"/>
          <w:bottom w:w="28" w:type="dxa"/>
          <w:right w:w="28" w:type="dxa"/>
        </w:tblCellMar>
      </w:tblPr>
      <w:tblGrid>
        <w:gridCol w:w="818"/>
        <w:gridCol w:w="718"/>
        <w:gridCol w:w="728"/>
        <w:gridCol w:w="211"/>
        <w:gridCol w:w="406"/>
        <w:gridCol w:w="109"/>
        <w:gridCol w:w="109"/>
        <w:gridCol w:w="109"/>
        <w:gridCol w:w="109"/>
        <w:gridCol w:w="211"/>
        <w:gridCol w:w="406"/>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assets, at cost</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color w:val="000000"/>
          <w:sz w:val="20"/>
        </w:rPr>
        <w:t>Employee Share-Based Compensation</w:t>
      </w:r>
      <w:r>
        <w:rPr>
          <w:color w:val="000000"/>
        </w:rPr>
        <w:t>—</w:t>
      </w:r>
      <w:r>
        <w:rPr>
          <w:rFonts w:ascii="Times New Roman;sans-serif" w:hAnsi="Times New Roman;sans-serif"/>
          <w:b w:val="false"/>
          <w:color w:val="000000"/>
          <w:sz w:val="20"/>
        </w:rPr>
        <w:t xml:space="preserve">We award share-based compensation, including stock options, restricted stock units, or RSUs, performance-based restricted stock units, or PSUs, and restricted stock, to our officers, directors, employees, and certain advisors through approval from the Compensation Committee of the board of directors.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recognized based on the grant date fair value of the awards, which is determined using the Black-Scholes Merton, or BSM, option-pricing model. The BSM option pricing model requires inputs based on certain subjective assumptions, including the expected stock price volatility, the expected term of the options, the risk-free interest rate for a period that approximates the expected term of the option, and our expected dividend yield. The fair value of common stock underlying the stock options, restricted stock and RSUs granted before our initial public offering, or IPO, had historically been determined by our board of directors, with input from management, and considering third-party valuations of our common stock. Because there had been no public market for our common stock, our board of directors had determined its fair value at the time of grant of the pre-IPO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and the Probability Weighted Expected Return Method subject to relevant facts and circumstances. In connection with our IPO, our common stock became listed on the Nasdaq Global Select Market and we use these market prices for the fair value of our common shares. Stock options are generally exercisable for a period up to ten years from the grant date.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forfeitures as they occur, which generally results in the reversal of previously recognized expense for nonvested awards. In the event of an involuntary termination that results in the cancellation of an award, the remaining unrecognized compensation cost for the entire award is recognized in the period of cancellation. If the award is cancelled and concurrently replaced upon termination, it follows modification accounting, typically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Type III improbable-to-probable modification whereby it is effectively treated as a forfeiture and new grant as of the date of termination.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generally vest over four years — 25% cliff vests after one year and approximately 2% vests each month over three years thereafter. RSUs generally vest over two or four years. For our awards vesting over two years, 50% cliff vests after one year and the remainder vest in equal quarterly installments over the following year. For our awards vesting over four years, 25% cliff vests after one year and the remainder vest in equal quarterly installments over three years thereafter. Certain other RSUs vest in accordance with one of the following patterns: over four years, 25% cliff vests after one year and approximately 2% vests each month over three years thereafter, or fully vest after one year. We generally recognize share-based compensation expense ratably over the respective vesting period.</w:t>
      </w:r>
    </w:p>
    <w:p>
      <w:pPr>
        <w:pStyle w:val="TextBody"/>
        <w:bidi w:val="0"/>
        <w:spacing w:lineRule="auto" w:line="288" w:before="0" w:after="180"/>
        <w:jc w:val="left"/>
        <w:rPr/>
      </w:pPr>
      <w:r>
        <w:rPr>
          <w:rFonts w:ascii="Times New Roman;sans-serif" w:hAnsi="Times New Roman;sans-serif"/>
          <w:b w:val="false"/>
          <w:color w:val="000000"/>
          <w:sz w:val="20"/>
        </w:rPr>
        <w:t xml:space="preserve">PSUs are expected to vest over a derived service period of one to four-years and are dependent upon the fulfillment of both a service condition and the achievement of stock-price goals during the performance period, with the latter being classified as a market condition according to ASC 718, </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The service condition with respect to the four tranches of PSUs will be met in installments on April 1, 2024, and each of the subsequent three anniversaries of that date, or Vesting Date Requirement, subject to the individual’s continued service through such dates. Stock price goals must be met on or after the respective tranche’s Vesting Date Requirement and are based on the average closing price per share of our Class A common stock over a consecutive 45 day trading period. Any tranche of PSUs with respect to which the stock price goal has not been met as of April 1, 2028 (the final day of the performance period) will be forfeited as of such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PSU compensation expense is recognized based on the grant date fair value of the award, which was determined by simulating Root’s stock prices using a Monte Carlo simulation in a risk-neutral framework, assuming a Geometric Brownian Motion. The simulation is repeated 100,000 times, and the average of the discounted values for each tranche is the grant date fair value for that tranche. The median time to vest is the derived service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Employing a Monte Carlo simulation requires a range of inputs for each uncertain variable, and establishing linkage between the assumptions, if necessary. Inputs and assumptions used in our analysis included our stock price at grant date, exercise prices, the term of the PSUs, equity volatility, risk-free rate and dividend yield. Equity volatility was derived using a blended volatility assumption of 50% weight on Root’s historical volatility calculated from daily stock returns since IPO to the grant date and a 50% weight based on Root’s term matched simple average peer volatility as of the valuation date because our company-specific volatility is not sufficient by itself at the time of grant.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expense is recognized via a graded vesting method over the derived service period. In the event that both the service condition and market condition are met earlier, expense would be accelerated. If the service condition is not achieved, previously recognized compensation cost for the associated tranche is reversed. In the event that the market conditions are never achieved before the expiration date, but the service condition is met, the respective compensation costs remain recognized.</w:t>
      </w:r>
    </w:p>
    <w:p>
      <w:pPr>
        <w:pStyle w:val="TextBody"/>
        <w:bidi w:val="0"/>
        <w:spacing w:lineRule="auto" w:line="288" w:before="0" w:after="180"/>
        <w:jc w:val="left"/>
        <w:rPr/>
      </w:pPr>
      <w:r>
        <w:rPr>
          <w:rFonts w:ascii="Times New Roman;sans-serif" w:hAnsi="Times New Roman;sans-serif"/>
          <w:b/>
          <w:color w:val="000000"/>
          <w:sz w:val="20"/>
        </w:rPr>
        <w:t>Warrant Compensation</w:t>
      </w:r>
      <w:r>
        <w:rPr>
          <w:color w:val="000000"/>
        </w:rPr>
        <w:t>—</w:t>
      </w:r>
      <w:r>
        <w:rPr>
          <w:rFonts w:ascii="Times New Roman;sans-serif" w:hAnsi="Times New Roman;sans-serif"/>
          <w:b w:val="false"/>
          <w:color w:val="000000"/>
          <w:sz w:val="20"/>
        </w:rPr>
        <w:t>In October 2021, we closed the Investment Agreement with Carvana that included the issuance of 14.1 million shares of redeemable convertible preferred stock designated as the Series A Convertible Preferred Stock and the issuance of eight tranches of warrants to purchase shares of the Company’s Class A common stock. As part of the Investment Agreement, we and Carvana also entered into a five-year commercial agreement whereby our auto insurance products will be embedded into the Integrated Platform. The commercial agreement provides for agent commissions payable to Carvana for policy origination and an enterprise total loss replacement vehicle solution.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Carvana warrants compensation expense is recognized based on the grant date fair value of the award, which was determined using a Monte Carlo simulation in a risk-neutral framework, as contemplated in the Income Approach of valuation. Specifically, future equity is simulated in each period assuming a Geometric Brownian Motion. We considered the features of the warrants and the interdependency of exercise decisions between the Short-Term Warrants and the Long-Term Warrants in using the Monte Carlo simulation in order to determine the optimum exercise decision. The optimum exercise decision was made by choosing the option which would give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highest aggregate expected value to the holder in each of the 100,000 simulated paths. The payoff of each path is then calculated based on the simulated equity and discounted back to time zero using the applicable risk-free rates. The fair value of the warrants are then calculated as the average value from all simulation paths.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Employing a Monte Carlo simulation with Geometric Brownian Motion requires a range of inputs for each uncertain variable, and establishing linkage between the assumptions, if necessary. Inputs and assumptions used in our analysis included our stock price at grant date, exercise prices, the term of the warrants, equity volatility, risk-free rate and dividend yield. Additional considerations included a discount for lack of marketability resulting from Carvana’s five-year lock-up period.</w:t>
      </w:r>
    </w:p>
    <w:p>
      <w:pPr>
        <w:pStyle w:val="TextBody"/>
        <w:bidi w:val="0"/>
        <w:spacing w:lineRule="auto" w:line="288" w:before="0" w:after="180"/>
        <w:jc w:val="left"/>
        <w:rPr/>
      </w:pPr>
      <w:r>
        <w:rPr>
          <w:rFonts w:ascii="Times New Roman;sans-serif" w:hAnsi="Times New Roman;sans-serif"/>
          <w:b w:val="false"/>
          <w:color w:val="000000"/>
          <w:sz w:val="20"/>
        </w:rPr>
        <w:t xml:space="preserve">These warrants vest as the parties develop an integrated automobile insurance solution for the Integrated Platform and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 condition is no longer probable of achievement, any previously recognized compensation expense is reversed and no subsequent compensation expense is recognized until achievement is once again probable, at which point a cumulative catch-up is recognized. In determining the classification as equity, we followed guidance issued within ASC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 xml:space="preserve">and ASC 815, </w:t>
      </w:r>
      <w:r>
        <w:rPr>
          <w:rFonts w:ascii="Times New Roman;sans-serif" w:hAnsi="Times New Roman;sans-serif"/>
          <w:b w:val="false"/>
          <w:i/>
          <w:color w:val="000000"/>
          <w:sz w:val="20"/>
        </w:rPr>
        <w:t>Derivatives and Hedging.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refer to Note 12, “Share-Based Compensation.”</w:t>
      </w:r>
    </w:p>
    <w:p>
      <w:pPr>
        <w:pStyle w:val="TextBody"/>
        <w:bidi w:val="0"/>
        <w:spacing w:lineRule="auto" w:line="288" w:before="0" w:after="180"/>
        <w:jc w:val="left"/>
        <w:rPr/>
      </w:pPr>
      <w:r>
        <w:rPr>
          <w:rFonts w:ascii="Times New Roman;sans-serif" w:hAnsi="Times New Roman;sans-serif"/>
          <w:b/>
          <w:color w:val="000000"/>
          <w:sz w:val="20"/>
        </w:rPr>
        <w:t>Net Loss Per Share</w:t>
      </w:r>
      <w:r>
        <w:rPr>
          <w:color w:val="000000"/>
        </w:rPr>
        <w:t>—</w:t>
      </w:r>
      <w:r>
        <w:rPr>
          <w:rFonts w:ascii="Times New Roman;sans-serif" w:hAnsi="Times New Roman;sans-serif"/>
          <w:b w:val="false"/>
          <w:color w:val="000000"/>
          <w:sz w:val="20"/>
        </w:rPr>
        <w:t>Net loss per share, or EPS, results are a key indicator of the overall performance relative to each share of our outstanding common stock. Basic EPS for both Class A and Class B common stock is computed by dividing net loss attributable to common stockholders by the weighted-average number of common shares vested and outstanding during the period. In addition to common shares outstanding, the computation of basic EPS includes instruments for which the holder is deemed to have the present rights to share in current period earnings (loss) with common stockholders.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Notable dilutive securities relevant to our operations are stock options, nonvested shares subject to repurchase, restricted stock units, performance-based restricted stock units, warrants and redeemable convertible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operated at a loss for the years ended December 31, 2023, 2022 and 2021. Therefore, the conversion of common stock equivalents would increase the denominator of the EPS calculation and create a lower loss per share. Therefore, these common stock equivalents are considered antidilutive and diluted EPS is equal to basic EPS. Losses are allocated equally between both classes of common stock because they are entitled to the same liquidation and dividend rights.</w:t>
      </w:r>
    </w:p>
    <w:p>
      <w:pPr>
        <w:pStyle w:val="TextBody"/>
        <w:bidi w:val="0"/>
        <w:spacing w:lineRule="auto" w:line="288" w:before="0" w:after="180"/>
        <w:jc w:val="left"/>
        <w:rPr/>
      </w:pPr>
      <w:r>
        <w:rPr>
          <w:rFonts w:ascii="Times New Roman;sans-serif" w:hAnsi="Times New Roman;sans-serif"/>
          <w:b/>
          <w:color w:val="000000"/>
          <w:sz w:val="20"/>
        </w:rPr>
        <w:t>Recently Adopted Accounting Pronouncements</w:t>
      </w:r>
      <w:r>
        <w:rPr>
          <w:color w:val="000000"/>
        </w:rPr>
        <w:t xml:space="preserve">— </w:t>
      </w:r>
      <w:r>
        <w:rPr>
          <w:rFonts w:ascii="Times New Roman;sans-serif" w:hAnsi="Times New Roman;sans-serif"/>
          <w:b w:val="false"/>
          <w:color w:val="000000"/>
          <w:sz w:val="20"/>
        </w:rPr>
        <w:t xml:space="preserve">There were no accounting standards adopted in 2023 that had a material impact in our consolidated financial statements. </w:t>
      </w:r>
    </w:p>
    <w:p>
      <w:pPr>
        <w:pStyle w:val="TextBody"/>
        <w:bidi w:val="0"/>
        <w:spacing w:lineRule="auto" w:line="288" w:before="0" w:after="180"/>
        <w:jc w:val="left"/>
        <w:rPr/>
      </w:pPr>
      <w:r>
        <w:rPr>
          <w:rFonts w:ascii="Times New Roman;sans-serif" w:hAnsi="Times New Roman;sans-serif"/>
          <w:b/>
          <w:color w:val="000000"/>
          <w:sz w:val="20"/>
        </w:rPr>
        <w:t>Recently Issued Financial Accounting Standards Not Yet Adopted</w:t>
      </w:r>
      <w:r>
        <w:rPr>
          <w:color w:val="000000"/>
        </w:rPr>
        <w:t xml:space="preserve">— </w:t>
      </w:r>
      <w:r>
        <w:rPr>
          <w:rFonts w:ascii="Times New Roman;sans-serif" w:hAnsi="Times New Roman;sans-serif"/>
          <w:b w:val="false"/>
          <w:color w:val="000000"/>
          <w:sz w:val="20"/>
        </w:rPr>
        <w:t xml:space="preserve">In November 2023, the FASB issued Accounting Standards Update, or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This ASU looks to provide improvements to the segment 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and a description of its composition. It also requires all annual disclosures about a reportable segments’ profit or loss and assets to be reported on an interim basis. Although we operate in only one reporting segment, we are still required to provide all the disclosures required by this ASU and all existing segment disclosures in Topic 280.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ASU is to be applied retrospectively to all prior periods presented in the financial statements with an effective date for all public entities for fiscal years beginning after December 15, 2023, and interim periods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fiscal years beginning after December 15, 2024. Early adoption is permitted. We are currently evaluating the impact of this ASU.</w:t>
      </w:r>
    </w:p>
    <w:p>
      <w:pPr>
        <w:pStyle w:val="TextBody"/>
        <w:bidi w:val="0"/>
        <w:spacing w:lineRule="auto" w:line="288" w:before="0" w:after="180"/>
        <w:jc w:val="left"/>
        <w:rPr/>
      </w:pPr>
      <w:r>
        <w:rPr>
          <w:rFonts w:ascii="Times New Roman;sans-serif" w:hAnsi="Times New Roman;sans-serif"/>
          <w:b w:val="false"/>
          <w:color w:val="000000"/>
          <w:sz w:val="20"/>
        </w:rPr>
        <w:t xml:space="preserve">In December 2023, the FASB issues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ASU is to be applied on a prospective basis with an effective date for all public entities for annual periods beginning after December 15, 2024. Early adoption is permitted. We are currently evaluating the impact of this ASU.</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short-term investments and available-for-sale fixed maturity securities at December 31, 2023 and 2022 are as follows:</w:t>
      </w:r>
    </w:p>
    <w:tbl>
      <w:tblPr>
        <w:tblW w:w="10205" w:type="dxa"/>
        <w:jc w:val="left"/>
        <w:tblInd w:w="0" w:type="dxa"/>
        <w:tblLayout w:type="fixed"/>
        <w:tblCellMar>
          <w:top w:w="28" w:type="dxa"/>
          <w:left w:w="28" w:type="dxa"/>
          <w:bottom w:w="28" w:type="dxa"/>
          <w:right w:w="28" w:type="dxa"/>
        </w:tblCellMar>
      </w:tblPr>
      <w:tblGrid>
        <w:gridCol w:w="1070"/>
        <w:gridCol w:w="660"/>
        <w:gridCol w:w="664"/>
        <w:gridCol w:w="243"/>
        <w:gridCol w:w="711"/>
        <w:gridCol w:w="125"/>
        <w:gridCol w:w="109"/>
        <w:gridCol w:w="109"/>
        <w:gridCol w:w="109"/>
        <w:gridCol w:w="516"/>
        <w:gridCol w:w="996"/>
        <w:gridCol w:w="270"/>
        <w:gridCol w:w="109"/>
        <w:gridCol w:w="109"/>
        <w:gridCol w:w="109"/>
        <w:gridCol w:w="383"/>
        <w:gridCol w:w="738"/>
        <w:gridCol w:w="199"/>
        <w:gridCol w:w="109"/>
        <w:gridCol w:w="109"/>
        <w:gridCol w:w="109"/>
        <w:gridCol w:w="379"/>
        <w:gridCol w:w="758"/>
        <w:gridCol w:w="197"/>
        <w:gridCol w:w="109"/>
        <w:gridCol w:w="109"/>
        <w:gridCol w:w="109"/>
        <w:gridCol w:w="211"/>
        <w:gridCol w:w="616"/>
        <w:gridCol w:w="161"/>
      </w:tblGrid>
      <w:tr>
        <w:trPr/>
        <w:tc>
          <w:tcPr>
            <w:tcW w:w="10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fixed maturities </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r>
    </w:p>
    <w:tbl>
      <w:tblPr>
        <w:tblW w:w="10205" w:type="dxa"/>
        <w:jc w:val="left"/>
        <w:tblInd w:w="0" w:type="dxa"/>
        <w:tblLayout w:type="fixed"/>
        <w:tblCellMar>
          <w:top w:w="28" w:type="dxa"/>
          <w:left w:w="28" w:type="dxa"/>
          <w:bottom w:w="28" w:type="dxa"/>
          <w:right w:w="28" w:type="dxa"/>
        </w:tblCellMar>
      </w:tblPr>
      <w:tblGrid>
        <w:gridCol w:w="1070"/>
        <w:gridCol w:w="660"/>
        <w:gridCol w:w="664"/>
        <w:gridCol w:w="243"/>
        <w:gridCol w:w="711"/>
        <w:gridCol w:w="125"/>
        <w:gridCol w:w="109"/>
        <w:gridCol w:w="109"/>
        <w:gridCol w:w="109"/>
        <w:gridCol w:w="516"/>
        <w:gridCol w:w="996"/>
        <w:gridCol w:w="270"/>
        <w:gridCol w:w="109"/>
        <w:gridCol w:w="109"/>
        <w:gridCol w:w="109"/>
        <w:gridCol w:w="383"/>
        <w:gridCol w:w="738"/>
        <w:gridCol w:w="199"/>
        <w:gridCol w:w="109"/>
        <w:gridCol w:w="109"/>
        <w:gridCol w:w="109"/>
        <w:gridCol w:w="379"/>
        <w:gridCol w:w="758"/>
        <w:gridCol w:w="197"/>
        <w:gridCol w:w="109"/>
        <w:gridCol w:w="109"/>
        <w:gridCol w:w="109"/>
        <w:gridCol w:w="211"/>
        <w:gridCol w:w="616"/>
        <w:gridCol w:w="161"/>
      </w:tblGrid>
      <w:tr>
        <w:trPr/>
        <w:tc>
          <w:tcPr>
            <w:tcW w:w="10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reviewed the available-for-sale fixed maturity securities at each balance sheet date to consider whether it was necessary to recognize a credit loss as of December 31, 2023 and 2022. We do not intend to sell the investments and it is not more likely than not that we will be required to sell the security before recovery. Management concluded that the available-for-sale fixed maturity securities’ unrealized losses were due to non-credit related factors and, therefore, there was no allowance for credit loss as of December 31, 2023 and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reflect the gross unrealized losses and fair value of short-term investments and available-for-sale fixed maturity securities, aggregated by investment category and length of time that individual securities have been in a continuous unrealized loss position at December 31, 2023 and 2022: </w:t>
      </w:r>
    </w:p>
    <w:tbl>
      <w:tblPr>
        <w:tblW w:w="10205" w:type="dxa"/>
        <w:jc w:val="left"/>
        <w:tblInd w:w="0" w:type="dxa"/>
        <w:tblLayout w:type="fixed"/>
        <w:tblCellMar>
          <w:top w:w="28" w:type="dxa"/>
          <w:left w:w="28" w:type="dxa"/>
          <w:bottom w:w="28" w:type="dxa"/>
          <w:right w:w="28" w:type="dxa"/>
        </w:tblCellMar>
      </w:tblPr>
      <w:tblGrid>
        <w:gridCol w:w="1132"/>
        <w:gridCol w:w="829"/>
        <w:gridCol w:w="834"/>
        <w:gridCol w:w="219"/>
        <w:gridCol w:w="534"/>
        <w:gridCol w:w="113"/>
        <w:gridCol w:w="211"/>
        <w:gridCol w:w="406"/>
        <w:gridCol w:w="109"/>
        <w:gridCol w:w="252"/>
        <w:gridCol w:w="503"/>
        <w:gridCol w:w="131"/>
        <w:gridCol w:w="109"/>
        <w:gridCol w:w="109"/>
        <w:gridCol w:w="109"/>
        <w:gridCol w:w="219"/>
        <w:gridCol w:w="534"/>
        <w:gridCol w:w="113"/>
        <w:gridCol w:w="109"/>
        <w:gridCol w:w="109"/>
        <w:gridCol w:w="109"/>
        <w:gridCol w:w="252"/>
        <w:gridCol w:w="503"/>
        <w:gridCol w:w="131"/>
        <w:gridCol w:w="109"/>
        <w:gridCol w:w="109"/>
        <w:gridCol w:w="109"/>
        <w:gridCol w:w="211"/>
        <w:gridCol w:w="616"/>
        <w:gridCol w:w="109"/>
        <w:gridCol w:w="109"/>
        <w:gridCol w:w="109"/>
        <w:gridCol w:w="109"/>
        <w:gridCol w:w="249"/>
        <w:gridCol w:w="498"/>
        <w:gridCol w:w="189"/>
      </w:tblGrid>
      <w:tr>
        <w:trPr/>
        <w:tc>
          <w:tcPr>
            <w:tcW w:w="11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maturities: </w:t>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other investments related to our private equity investments were $4.4 million. We recognized zero, $1.2 million and zero of realized gains in December 31, 2023, 2022 and 2021, respectively. We recorded the sale of one of our private equity investments within net realized gains on investments in our consolidated statements of operations and comprehensive loss. There were no impairment losses recognized on private equity investments for the years ended December 31, 2023, 2022 and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gross and net realized gains and losses on short-term investments, available-for-sale fixed maturities and other investments that have been included in the consolidated statements of operations and comprehensive loss for the years ended December 31, 2023, 2022 and 2021:</w:t>
      </w:r>
    </w:p>
    <w:tbl>
      <w:tblPr>
        <w:tblW w:w="5944" w:type="dxa"/>
        <w:jc w:val="left"/>
        <w:tblInd w:w="0" w:type="dxa"/>
        <w:tblLayout w:type="fixed"/>
        <w:tblCellMar>
          <w:top w:w="28" w:type="dxa"/>
          <w:left w:w="28" w:type="dxa"/>
          <w:bottom w:w="28" w:type="dxa"/>
          <w:right w:w="28" w:type="dxa"/>
        </w:tblCellMar>
      </w:tblPr>
      <w:tblGrid>
        <w:gridCol w:w="1032"/>
        <w:gridCol w:w="907"/>
        <w:gridCol w:w="910"/>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on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on investments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amortized cost and fair value of short-term investments and available-for-sale fixed maturity securities by contractual maturity at December 31, 2023:</w:t>
      </w:r>
    </w:p>
    <w:tbl>
      <w:tblPr>
        <w:tblW w:w="5657"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for the years ended December 31, 2023, 2022 and 2021:</w:t>
      </w:r>
    </w:p>
    <w:tbl>
      <w:tblPr>
        <w:tblW w:w="6634" w:type="dxa"/>
        <w:jc w:val="left"/>
        <w:tblInd w:w="0" w:type="dxa"/>
        <w:tblLayout w:type="fixed"/>
        <w:tblCellMar>
          <w:top w:w="28" w:type="dxa"/>
          <w:left w:w="28" w:type="dxa"/>
          <w:bottom w:w="28" w:type="dxa"/>
          <w:right w:w="28" w:type="dxa"/>
        </w:tblCellMar>
      </w:tblPr>
      <w:tblGrid>
        <w:gridCol w:w="1243"/>
        <w:gridCol w:w="1091"/>
        <w:gridCol w:w="1100"/>
        <w:gridCol w:w="211"/>
        <w:gridCol w:w="511"/>
        <w:gridCol w:w="109"/>
        <w:gridCol w:w="109"/>
        <w:gridCol w:w="109"/>
        <w:gridCol w:w="109"/>
        <w:gridCol w:w="211"/>
        <w:gridCol w:w="406"/>
        <w:gridCol w:w="109"/>
        <w:gridCol w:w="109"/>
        <w:gridCol w:w="109"/>
        <w:gridCol w:w="109"/>
        <w:gridCol w:w="211"/>
        <w:gridCol w:w="406"/>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 and cash equivalents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investments</w:t>
            </w:r>
            <w:r>
              <w:rPr>
                <w:rFonts w:ascii="Times New Roman;sans-serif" w:hAnsi="Times New Roman;sans-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Unrealized gains resulting from observable price changes related to our private equity investments.</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short-term investments and available-for-sale fixed maturity securities at December 31, 2023 and 2022:</w:t>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certain regulatory requirements, we are required to hold assets on deposit with various state insurance departments for the benefit of policyholders. These special deposits are included in available-for-sale fixed maturity securities on the consolidated balance sheets. As of December 31, 2023 and 2022, these required deposits had an amortized cost of $9.5 million and $11.7 million, respectively, and fair value of $9.4 million and $11.3 million, respectively.</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assets measured and reported at fair value as of December 31, 2023 and 2022:</w:t>
      </w:r>
    </w:p>
    <w:tbl>
      <w:tblPr>
        <w:tblW w:w="7935" w:type="dxa"/>
        <w:jc w:val="left"/>
        <w:tblInd w:w="0" w:type="dxa"/>
        <w:tblLayout w:type="fixed"/>
        <w:tblCellMar>
          <w:top w:w="28" w:type="dxa"/>
          <w:left w:w="28" w:type="dxa"/>
          <w:bottom w:w="28" w:type="dxa"/>
          <w:right w:w="28" w:type="dxa"/>
        </w:tblCellMar>
      </w:tblPr>
      <w:tblGrid>
        <w:gridCol w:w="1218"/>
        <w:gridCol w:w="1073"/>
        <w:gridCol w:w="1084"/>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Private Equity Investments Measured at Fair Value on a Non-Recurring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unobservable inputs including volatility, rights, and obligations of the investments we hold. See Note 3, “Investments,” for further information on our private equity investments.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long-term debt is recorded at the unpaid balance, net of discount and debt issuance costs. The fair value of outstanding long-term debt as of December 31, 2023 was classified within Level 2 of the fair value hierarchy. The fair value was based on a model referencing observable interest rates and spreads to project and discount cash flows to present value. As of December 31, 2023 and 2022,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11"/>
        <w:gridCol w:w="363"/>
        <w:gridCol w:w="364"/>
        <w:gridCol w:w="442"/>
        <w:gridCol w:w="1290"/>
        <w:gridCol w:w="228"/>
        <w:gridCol w:w="109"/>
        <w:gridCol w:w="109"/>
        <w:gridCol w:w="109"/>
        <w:gridCol w:w="463"/>
        <w:gridCol w:w="1354"/>
        <w:gridCol w:w="240"/>
        <w:gridCol w:w="109"/>
        <w:gridCol w:w="109"/>
        <w:gridCol w:w="109"/>
        <w:gridCol w:w="442"/>
        <w:gridCol w:w="1290"/>
        <w:gridCol w:w="228"/>
        <w:gridCol w:w="109"/>
        <w:gridCol w:w="109"/>
        <w:gridCol w:w="109"/>
        <w:gridCol w:w="451"/>
        <w:gridCol w:w="1319"/>
        <w:gridCol w:w="339"/>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Carrying Amount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Carrying Amount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2022</w:t>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LOSS AND LOSS ADJUSTMENT EXPENSE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beginning and ending reserve balances for loss and LAE, net of reinsurance:</w:t>
      </w:r>
    </w:p>
    <w:tbl>
      <w:tblPr>
        <w:tblW w:w="7331" w:type="dxa"/>
        <w:jc w:val="left"/>
        <w:tblInd w:w="0" w:type="dxa"/>
        <w:tblLayout w:type="fixed"/>
        <w:tblCellMar>
          <w:top w:w="28" w:type="dxa"/>
          <w:left w:w="28" w:type="dxa"/>
          <w:bottom w:w="28" w:type="dxa"/>
          <w:right w:w="28" w:type="dxa"/>
        </w:tblCellMar>
      </w:tblPr>
      <w:tblGrid>
        <w:gridCol w:w="1387"/>
        <w:gridCol w:w="1216"/>
        <w:gridCol w:w="1221"/>
        <w:gridCol w:w="211"/>
        <w:gridCol w:w="616"/>
        <w:gridCol w:w="109"/>
        <w:gridCol w:w="109"/>
        <w:gridCol w:w="109"/>
        <w:gridCol w:w="109"/>
        <w:gridCol w:w="211"/>
        <w:gridCol w:w="616"/>
        <w:gridCol w:w="109"/>
        <w:gridCol w:w="109"/>
        <w:gridCol w:w="109"/>
        <w:gridCol w:w="109"/>
        <w:gridCol w:w="211"/>
        <w:gridCol w:w="616"/>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 and LAE related to:</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December 31</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Incurred losses and LAE attributable to prior accident years was a decrease of $7.0 million, an increase of $2.9 million and a decrease of $13.6 million during 2023, 2022 and 2021, respectively.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to incurred losses for prior accident years in 2023 of $7.0 million was primarily driven by lower-than-expected reported losses from accident year 2022 related to liability and physical damage coverages.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to incurred losses for prior accident years in 2022 of $2.9 million was primarily driven by higher-than-expected reported losses from accident year 2021 material damage claims due to higher replacement parts cost and growth in used car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to incurred losses for prior accident years in 2021 of approximately $13.6 million was primarily due to lower-than-expected reported losses on bodily injury claims, and higher than expected subrogation and salvage recoveries from accident year 2020 material damage claims.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incurred and paid losses and allocated loss adjustment expenses, or ALAE, development by accident year for private passenger auto and renters in aggregate, cumulative claim frequency is defined as the number of reported claims at the claim level which includes reported claims that do not result in a liability: </w:t>
      </w:r>
    </w:p>
    <w:tbl>
      <w:tblPr>
        <w:tblW w:w="11873" w:type="dxa"/>
        <w:jc w:val="left"/>
        <w:tblInd w:w="0" w:type="dxa"/>
        <w:tblLayout w:type="fixed"/>
        <w:tblCellMar>
          <w:top w:w="28" w:type="dxa"/>
          <w:left w:w="28" w:type="dxa"/>
          <w:bottom w:w="28" w:type="dxa"/>
          <w:right w:w="28" w:type="dxa"/>
        </w:tblCellMar>
      </w:tblPr>
      <w:tblGrid>
        <w:gridCol w:w="272"/>
        <w:gridCol w:w="239"/>
        <w:gridCol w:w="240"/>
        <w:gridCol w:w="257"/>
        <w:gridCol w:w="495"/>
        <w:gridCol w:w="134"/>
        <w:gridCol w:w="109"/>
        <w:gridCol w:w="109"/>
        <w:gridCol w:w="109"/>
        <w:gridCol w:w="257"/>
        <w:gridCol w:w="495"/>
        <w:gridCol w:w="134"/>
        <w:gridCol w:w="109"/>
        <w:gridCol w:w="109"/>
        <w:gridCol w:w="109"/>
        <w:gridCol w:w="257"/>
        <w:gridCol w:w="495"/>
        <w:gridCol w:w="134"/>
        <w:gridCol w:w="109"/>
        <w:gridCol w:w="109"/>
        <w:gridCol w:w="109"/>
        <w:gridCol w:w="257"/>
        <w:gridCol w:w="495"/>
        <w:gridCol w:w="134"/>
        <w:gridCol w:w="109"/>
        <w:gridCol w:w="109"/>
        <w:gridCol w:w="109"/>
        <w:gridCol w:w="257"/>
        <w:gridCol w:w="495"/>
        <w:gridCol w:w="134"/>
        <w:gridCol w:w="109"/>
        <w:gridCol w:w="109"/>
        <w:gridCol w:w="109"/>
        <w:gridCol w:w="257"/>
        <w:gridCol w:w="495"/>
        <w:gridCol w:w="134"/>
        <w:gridCol w:w="109"/>
        <w:gridCol w:w="109"/>
        <w:gridCol w:w="109"/>
        <w:gridCol w:w="211"/>
        <w:gridCol w:w="766"/>
        <w:gridCol w:w="109"/>
        <w:gridCol w:w="109"/>
        <w:gridCol w:w="109"/>
        <w:gridCol w:w="109"/>
        <w:gridCol w:w="211"/>
        <w:gridCol w:w="616"/>
        <w:gridCol w:w="109"/>
        <w:gridCol w:w="109"/>
        <w:gridCol w:w="109"/>
        <w:gridCol w:w="109"/>
        <w:gridCol w:w="435"/>
        <w:gridCol w:w="391"/>
        <w:gridCol w:w="34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1873"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Incurred Losses and ALAE—Net of Reinsurance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Reported Claims</w:t>
            </w:r>
            <w:r>
              <w:rPr>
                <w:rFonts w:ascii="Times New Roman;sans-serif" w:hAnsi="Times New Roman;sans-serif"/>
                <w:b/>
                <w:color w:val="000000"/>
                <w:sz w:val="10"/>
              </w:rPr>
              <w:t>(1)</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151,999 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579,345 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3" w:type="dxa"/>
            <w:gridSpan w:val="5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Cumulative Paid Losses and ALAE—Net of Reinsurance</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Accident Year</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2017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2018 (unaudited)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ALAE reserves—net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Reported by claim event.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claims development tables to the balance sheet losses and ALAE reserves, with separate disclosure of unallocated LAE, or ULAE, and reinsurance recoverable on unpaid losses for the years ended December 31:</w:t>
      </w:r>
    </w:p>
    <w:tbl>
      <w:tblPr>
        <w:tblW w:w="6413" w:type="dxa"/>
        <w:jc w:val="left"/>
        <w:tblInd w:w="0" w:type="dxa"/>
        <w:tblLayout w:type="fixed"/>
        <w:tblCellMar>
          <w:top w:w="28" w:type="dxa"/>
          <w:left w:w="28" w:type="dxa"/>
          <w:bottom w:w="28" w:type="dxa"/>
          <w:right w:w="28" w:type="dxa"/>
        </w:tblCellMar>
      </w:tblPr>
      <w:tblGrid>
        <w:gridCol w:w="1511"/>
        <w:gridCol w:w="1325"/>
        <w:gridCol w:w="1333"/>
        <w:gridCol w:w="211"/>
        <w:gridCol w:w="616"/>
        <w:gridCol w:w="109"/>
        <w:gridCol w:w="109"/>
        <w:gridCol w:w="109"/>
        <w:gridCol w:w="109"/>
        <w:gridCol w:w="211"/>
        <w:gridCol w:w="61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ALAE reserves—net of reinsurance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ULAE reserves—net of reinsurance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recoverables on unpaid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LAE reserves—gross of reinsurance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historical average annual percentage payout of incurred losses and ALAE (claims duration), net of reinsurance, as of December 31, 2023:</w:t>
      </w:r>
    </w:p>
    <w:tbl>
      <w:tblPr>
        <w:tblW w:w="9259" w:type="dxa"/>
        <w:jc w:val="left"/>
        <w:tblInd w:w="0" w:type="dxa"/>
        <w:tblLayout w:type="fixed"/>
        <w:tblCellMar>
          <w:top w:w="28" w:type="dxa"/>
          <w:left w:w="28" w:type="dxa"/>
          <w:bottom w:w="28" w:type="dxa"/>
          <w:right w:w="28" w:type="dxa"/>
        </w:tblCellMar>
      </w:tblPr>
      <w:tblGrid>
        <w:gridCol w:w="597"/>
        <w:gridCol w:w="523"/>
        <w:gridCol w:w="529"/>
        <w:gridCol w:w="109"/>
        <w:gridCol w:w="109"/>
        <w:gridCol w:w="109"/>
        <w:gridCol w:w="255"/>
        <w:gridCol w:w="256"/>
        <w:gridCol w:w="271"/>
        <w:gridCol w:w="109"/>
        <w:gridCol w:w="109"/>
        <w:gridCol w:w="109"/>
        <w:gridCol w:w="255"/>
        <w:gridCol w:w="256"/>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Incremental paid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Supplemental information and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amounts affecting the consolidated balance sheets and statements of operations and comprehensive loss for reinsurance as of and for the years ended December 31:</w:t>
      </w:r>
    </w:p>
    <w:tbl>
      <w:tblPr>
        <w:tblW w:w="5921" w:type="dxa"/>
        <w:jc w:val="left"/>
        <w:tblInd w:w="0" w:type="dxa"/>
        <w:tblLayout w:type="fixed"/>
        <w:tblCellMar>
          <w:top w:w="28" w:type="dxa"/>
          <w:left w:w="28" w:type="dxa"/>
          <w:bottom w:w="28" w:type="dxa"/>
          <w:right w:w="28" w:type="dxa"/>
        </w:tblCellMar>
      </w:tblPr>
      <w:tblGrid>
        <w:gridCol w:w="873"/>
        <w:gridCol w:w="769"/>
        <w:gridCol w:w="772"/>
        <w:gridCol w:w="211"/>
        <w:gridCol w:w="616"/>
        <w:gridCol w:w="109"/>
        <w:gridCol w:w="109"/>
        <w:gridCol w:w="109"/>
        <w:gridCol w:w="109"/>
        <w:gridCol w:w="211"/>
        <w:gridCol w:w="616"/>
        <w:gridCol w:w="109"/>
        <w:gridCol w:w="109"/>
        <w:gridCol w:w="109"/>
        <w:gridCol w:w="109"/>
        <w:gridCol w:w="211"/>
        <w:gridCol w:w="61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reserves: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unearned premiums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 incurred: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and LAE incurred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we commuted certain agreements with our reinsurers which resulted in $0.7 million of loss and loss adjustment expenses and a $4.6 million expense of other insurance expense (benefit), respectively, on the consolidated statements of operations and comprehensive loss. A portion of the loss and loss adjustment expenses is related to an allowance for credit losses of $1.7 million, that was established due to a commutation with one of our reinsurers as of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the commutation of certain agreements with reinsurers during 2023, we received cash and cash equivalents and released collateral balances held of $27.1 million, reinsurance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receivable decreased by $35.1 million, prepaid reinsurance premiums were reduced by $34.6 million and reinsurance premiums payable decreased by $37.3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our reinsurance was cancelled at December 31, 2023 and 2022, the maximum amount of return ceded commissions due with the return of unearned premiums would have been $12.3 million and $19.0 million, respectively. Our reinsurance recoverable on unpaid losses gross of the provision for loss corridor, loss ratio caps and allowance for credit losses was $65.6 million and $143.3 million as of December 31, 2023 and 2022, respectively. As of December 31, 2023 and 2022, a provision for loss corridor of $19.4 million and $66.2 million, respectively, was recorded as a contra-asset in reinsurance recoverable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the Term Loan, with the full principal amount due and payable upon maturity on January 27, 2027. Interest is payable quarterly and is determined on a floating interest rate currently calculated on the Secured Overnight Financing Rate, or SOFR, with a 1.0% floor, plus 9.0%. As part of the loan agreement, we issued warrants to the lender to purchase approximately 0.3 million shares of our Class A common stock at a strike price of $162.00 per share. Such warrants will expire on the later of the repayment in full of the Term Loan or January 27, 2027. The total fair value of these warrants at January 27, 2022 was $0.6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contains debt covenants which, among other things, require cash and cash equivalents held in entities other than our insurance subsidiaries to be at least $200.0 million at all times. This threshold may be reduced to $150.0 million under two sets 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Under the latter set of circumstances, we must issue additional warrants to purchase shares of our Class A common stock equal to 1.0% of the aggregate number of issued and outstanding shares of Class A common stock on a fully-diluted basis as of the date the threshold is reduced. The additional warrants, if issued, would have an exercise price equal to the 30-trading day volume weighted average price of the Class A common stock as of the trading day immediately prior to the triggering date. The additional warrants will expire on the later of the repayment in full of the Term Loan, January 27, 2027 or the date that falls 12 months after the issuance of these warrants. As of December 31, 2023, the fair value of these 1.0% warrants was immaterial to our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value of long-term debt and warrants as of December 31, 2023 and 2022:</w:t>
      </w:r>
    </w:p>
    <w:tbl>
      <w:tblPr>
        <w:tblW w:w="7164" w:type="dxa"/>
        <w:jc w:val="left"/>
        <w:tblInd w:w="0" w:type="dxa"/>
        <w:tblLayout w:type="fixed"/>
        <w:tblCellMar>
          <w:top w:w="28" w:type="dxa"/>
          <w:left w:w="28" w:type="dxa"/>
          <w:bottom w:w="28" w:type="dxa"/>
          <w:right w:w="28" w:type="dxa"/>
        </w:tblCellMar>
      </w:tblPr>
      <w:tblGrid>
        <w:gridCol w:w="1783"/>
        <w:gridCol w:w="1564"/>
        <w:gridCol w:w="1573"/>
        <w:gridCol w:w="211"/>
        <w:gridCol w:w="616"/>
        <w:gridCol w:w="109"/>
        <w:gridCol w:w="109"/>
        <w:gridCol w:w="109"/>
        <w:gridCol w:w="109"/>
        <w:gridCol w:w="211"/>
        <w:gridCol w:w="616"/>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and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8.</w:t>
      </w:r>
      <w:r>
        <w:rPr>
          <w:rFonts w:ascii="Times New Roman;sans-serif" w:hAnsi="Times New Roman;sans-serif"/>
          <w:b/>
          <w:color w:val="000000"/>
          <w:sz w:val="20"/>
        </w:rPr>
        <w:t>LEASES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have operating leases for offices that support our corporate, claims and customer service functions.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corresponding operating lease liabilities are recognized upon the commencement date based primarily on the present value of lease payments over the lease term. We use the implicit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adjusted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balance sheets information related to leases at December 31, 2023 and 2022:</w:t>
      </w:r>
    </w:p>
    <w:tbl>
      <w:tblPr>
        <w:tblW w:w="5027" w:type="dxa"/>
        <w:jc w:val="left"/>
        <w:tblInd w:w="0" w:type="dxa"/>
        <w:tblLayout w:type="fixed"/>
        <w:tblCellMar>
          <w:top w:w="28" w:type="dxa"/>
          <w:left w:w="28" w:type="dxa"/>
          <w:bottom w:w="28" w:type="dxa"/>
          <w:right w:w="28" w:type="dxa"/>
        </w:tblCellMar>
      </w:tblPr>
      <w:tblGrid>
        <w:gridCol w:w="1043"/>
        <w:gridCol w:w="915"/>
        <w:gridCol w:w="922"/>
        <w:gridCol w:w="211"/>
        <w:gridCol w:w="406"/>
        <w:gridCol w:w="109"/>
        <w:gridCol w:w="109"/>
        <w:gridCol w:w="109"/>
        <w:gridCol w:w="109"/>
        <w:gridCol w:w="211"/>
        <w:gridCol w:w="511"/>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are included in other liabilities and operating lease right-of-use assets are included in other assets in our consolidated balance sheets.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for the years ended December 31, 2023, 2022 and 2021 are as follows:</w:t>
      </w:r>
    </w:p>
    <w:p>
      <w:pPr>
        <w:pStyle w:val="TextBody"/>
        <w:bidi w:val="0"/>
        <w:spacing w:before="0" w:after="0"/>
        <w:jc w:val="left"/>
        <w:rPr/>
      </w:pPr>
      <w:r>
        <w:rPr/>
      </w:r>
    </w:p>
    <w:tbl>
      <w:tblPr>
        <w:tblW w:w="5149" w:type="dxa"/>
        <w:jc w:val="left"/>
        <w:tblInd w:w="0" w:type="dxa"/>
        <w:tblLayout w:type="fixed"/>
        <w:tblCellMar>
          <w:top w:w="28" w:type="dxa"/>
          <w:left w:w="28" w:type="dxa"/>
          <w:bottom w:w="28" w:type="dxa"/>
          <w:right w:w="28" w:type="dxa"/>
        </w:tblCellMar>
      </w:tblPr>
      <w:tblGrid>
        <w:gridCol w:w="743"/>
        <w:gridCol w:w="655"/>
        <w:gridCol w:w="656"/>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 components: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 costs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16"/>
        </w:rPr>
        <w:t>Variable lease expense and short-term lease expense recognized during the years ended December 31, 2023, 2022, and 2021 were immaterial.</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the years ended December 31, 2023, 2022 and 2021 are as follows:</w:t>
      </w:r>
    </w:p>
    <w:tbl>
      <w:tblPr>
        <w:tblW w:w="10189" w:type="dxa"/>
        <w:jc w:val="left"/>
        <w:tblInd w:w="0" w:type="dxa"/>
        <w:tblLayout w:type="fixed"/>
        <w:tblCellMar>
          <w:top w:w="28" w:type="dxa"/>
          <w:left w:w="28" w:type="dxa"/>
          <w:bottom w:w="28" w:type="dxa"/>
          <w:right w:w="28" w:type="dxa"/>
        </w:tblCellMar>
      </w:tblPr>
      <w:tblGrid>
        <w:gridCol w:w="2572"/>
        <w:gridCol w:w="2255"/>
        <w:gridCol w:w="2267"/>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paid for amounts included in the measurement of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we reduced our square footage at one of our offices. The amendment triggered a remeasurement of the operating lease assets and liabilities at the modification date, resulting in a decrease of $0.9 million as of December 31, 2022. The modification also resulted in a $0.9 million gain for the year ended December 31, 2022. The gain is a contra-expense in general and administrative expenses on the consolidated statements of operations and comprehensive 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we ceased using a portion of our corporate headquarters and extended the lease term on the remaining portion to December 31, 2027. The amendment triggered a change in estimate to the respective useful lives, which has been accounted for as a lease modification. The operating lease assets and liabilities were remeasured at the modification date, resulting in an increase of $1.4 million as of December 31,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sublease certain office space, resulting in sublease income. Sublease income and the related assets and cash flows are not material to our consolidated financial statements as of and for the years ended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2023, 2022 and 2021. Sublease income is recognized as a reduction to operating lease expense in our consolidated statements of operations and comprehensive loss.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remaining lease term and weighted average operating lease discount rate, as of December 31, 2023 and 2022 are as follows:</w:t>
      </w:r>
    </w:p>
    <w:tbl>
      <w:tblPr>
        <w:tblW w:w="7088" w:type="dxa"/>
        <w:jc w:val="left"/>
        <w:tblInd w:w="0" w:type="dxa"/>
        <w:tblLayout w:type="fixed"/>
        <w:tblCellMar>
          <w:top w:w="28" w:type="dxa"/>
          <w:left w:w="28" w:type="dxa"/>
          <w:bottom w:w="28" w:type="dxa"/>
          <w:right w:w="28" w:type="dxa"/>
        </w:tblCellMar>
      </w:tblPr>
      <w:tblGrid>
        <w:gridCol w:w="1784"/>
        <w:gridCol w:w="1570"/>
        <w:gridCol w:w="1580"/>
        <w:gridCol w:w="255"/>
        <w:gridCol w:w="256"/>
        <w:gridCol w:w="271"/>
        <w:gridCol w:w="109"/>
        <w:gridCol w:w="109"/>
        <w:gridCol w:w="109"/>
        <w:gridCol w:w="255"/>
        <w:gridCol w:w="256"/>
        <w:gridCol w:w="271"/>
        <w:gridCol w:w="109"/>
        <w:gridCol w:w="154"/>
      </w:tblGrid>
      <w:tr>
        <w:trPr/>
        <w:tc>
          <w:tcPr>
            <w:tcW w:w="1784"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of remaining operating lease term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operating lease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as of December 31, 2023 were as follows:</w:t>
      </w:r>
    </w:p>
    <w:tbl>
      <w:tblPr>
        <w:tblW w:w="3899" w:type="dxa"/>
        <w:jc w:val="left"/>
        <w:tblInd w:w="0" w:type="dxa"/>
        <w:tblLayout w:type="fixed"/>
        <w:tblCellMar>
          <w:top w:w="28" w:type="dxa"/>
          <w:left w:w="28" w:type="dxa"/>
          <w:bottom w:w="28" w:type="dxa"/>
          <w:right w:w="28" w:type="dxa"/>
        </w:tblCellMar>
      </w:tblPr>
      <w:tblGrid>
        <w:gridCol w:w="851"/>
        <w:gridCol w:w="746"/>
        <w:gridCol w:w="757"/>
        <w:gridCol w:w="422"/>
        <w:gridCol w:w="813"/>
        <w:gridCol w:w="310"/>
      </w:tblGrid>
      <w:tr>
        <w:trPr/>
        <w:tc>
          <w:tcPr>
            <w:tcW w:w="8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9.</w:t>
      </w:r>
      <w:r>
        <w:rPr>
          <w:rFonts w:ascii="Times New Roman;sans-serif" w:hAnsi="Times New Roman;sans-serif"/>
          <w:b/>
          <w:color w:val="000000"/>
          <w:sz w:val="20"/>
        </w:rPr>
        <w:t>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income tax expense (benefit) for the years ended December 31, 2023, 2022 and 2021:</w:t>
      </w:r>
    </w:p>
    <w:tbl>
      <w:tblPr>
        <w:tblW w:w="6034" w:type="dxa"/>
        <w:jc w:val="left"/>
        <w:tblInd w:w="0" w:type="dxa"/>
        <w:tblLayout w:type="fixed"/>
        <w:tblCellMar>
          <w:top w:w="28" w:type="dxa"/>
          <w:left w:w="28" w:type="dxa"/>
          <w:bottom w:w="28" w:type="dxa"/>
          <w:right w:w="28" w:type="dxa"/>
        </w:tblCellMar>
      </w:tblPr>
      <w:tblGrid>
        <w:gridCol w:w="1062"/>
        <w:gridCol w:w="935"/>
        <w:gridCol w:w="942"/>
        <w:gridCol w:w="211"/>
        <w:gridCol w:w="406"/>
        <w:gridCol w:w="109"/>
        <w:gridCol w:w="109"/>
        <w:gridCol w:w="109"/>
        <w:gridCol w:w="109"/>
        <w:gridCol w:w="211"/>
        <w:gridCol w:w="406"/>
        <w:gridCol w:w="109"/>
        <w:gridCol w:w="109"/>
        <w:gridCol w:w="109"/>
        <w:gridCol w:w="109"/>
        <w:gridCol w:w="211"/>
        <w:gridCol w:w="406"/>
        <w:gridCol w:w="109"/>
        <w:gridCol w:w="109"/>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expense (benefit) differed from the amounts computed by applying the statutory U.S. federal income tax rate of 21% in 2023, 2022 and 2021 to pretax income as a result of the following:</w:t>
      </w:r>
    </w:p>
    <w:tbl>
      <w:tblPr>
        <w:tblW w:w="10205" w:type="dxa"/>
        <w:jc w:val="left"/>
        <w:tblInd w:w="0" w:type="dxa"/>
        <w:tblLayout w:type="fixed"/>
        <w:tblCellMar>
          <w:top w:w="28" w:type="dxa"/>
          <w:left w:w="28" w:type="dxa"/>
          <w:bottom w:w="28" w:type="dxa"/>
          <w:right w:w="28" w:type="dxa"/>
        </w:tblCellMar>
      </w:tblPr>
      <w:tblGrid>
        <w:gridCol w:w="1198"/>
        <w:gridCol w:w="906"/>
        <w:gridCol w:w="914"/>
        <w:gridCol w:w="211"/>
        <w:gridCol w:w="675"/>
        <w:gridCol w:w="109"/>
        <w:gridCol w:w="109"/>
        <w:gridCol w:w="109"/>
        <w:gridCol w:w="109"/>
        <w:gridCol w:w="283"/>
        <w:gridCol w:w="286"/>
        <w:gridCol w:w="271"/>
        <w:gridCol w:w="109"/>
        <w:gridCol w:w="109"/>
        <w:gridCol w:w="109"/>
        <w:gridCol w:w="211"/>
        <w:gridCol w:w="675"/>
        <w:gridCol w:w="109"/>
        <w:gridCol w:w="109"/>
        <w:gridCol w:w="109"/>
        <w:gridCol w:w="109"/>
        <w:gridCol w:w="283"/>
        <w:gridCol w:w="286"/>
        <w:gridCol w:w="271"/>
        <w:gridCol w:w="109"/>
        <w:gridCol w:w="109"/>
        <w:gridCol w:w="109"/>
        <w:gridCol w:w="211"/>
        <w:gridCol w:w="675"/>
        <w:gridCol w:w="109"/>
        <w:gridCol w:w="109"/>
        <w:gridCol w:w="109"/>
        <w:gridCol w:w="109"/>
        <w:gridCol w:w="283"/>
        <w:gridCol w:w="286"/>
        <w:gridCol w:w="318"/>
      </w:tblGrid>
      <w:tr>
        <w:trPr/>
        <w:tc>
          <w:tcPr>
            <w:tcW w:w="119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U.S. federal income tax benefit</w:t>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on deferred tax assets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to provision permanent adjustments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net operating loss </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8"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tax effects of temporary differences that give rise to significant portions of the deferred tax assets and deferred tax liabilities at December 31, 2023 and 2022:</w:t>
      </w:r>
    </w:p>
    <w:tbl>
      <w:tblPr>
        <w:tblW w:w="6125" w:type="dxa"/>
        <w:jc w:val="left"/>
        <w:tblInd w:w="0" w:type="dxa"/>
        <w:tblLayout w:type="fixed"/>
        <w:tblCellMar>
          <w:top w:w="28" w:type="dxa"/>
          <w:left w:w="28" w:type="dxa"/>
          <w:bottom w:w="28" w:type="dxa"/>
          <w:right w:w="28" w:type="dxa"/>
        </w:tblCellMar>
      </w:tblPr>
      <w:tblGrid>
        <w:gridCol w:w="1507"/>
        <w:gridCol w:w="1322"/>
        <w:gridCol w:w="1326"/>
        <w:gridCol w:w="235"/>
        <w:gridCol w:w="455"/>
        <w:gridCol w:w="109"/>
        <w:gridCol w:w="109"/>
        <w:gridCol w:w="109"/>
        <w:gridCol w:w="109"/>
        <w:gridCol w:w="235"/>
        <w:gridCol w:w="455"/>
        <w:gridCol w:w="154"/>
      </w:tblGrid>
      <w:tr>
        <w:trPr/>
        <w:tc>
          <w:tcPr>
            <w:tcW w:w="150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losses and loss adjustment expenses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 reserves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carryforward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and warrant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 carryforward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assets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less valuation allowance</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experimental expenditures </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20"/>
        </w:rPr>
        <w:t xml:space="preserve">The above amounts were calculated in accordance with ASC 740,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Although lack of realization is not assured, we believe it is more likely than not that the deferred tax assets will not be realized. As such, a valuation allowance of $356.4 million has been established. The valuation allowance increased by $34.1 million and $67.3 million for the years ended December 31, 2023 and 2022, respectively, primarily due to our net operating loss.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an ownership change under Section 382 of the Internal Revenue Code, or the Code. Accordingly, use of a portion of our net operating losses, or NOLs, and tax credit carryforwards are subject to an annual limitation under Section 382 of the Code. We do not expect any of our deferred tax assets related to our NOLs or tax credit carryforwards to expire unutilized as a result of this limitation.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carryforwards related to NOLs and tax credits:</w:t>
      </w:r>
    </w:p>
    <w:tbl>
      <w:tblPr>
        <w:tblW w:w="10205" w:type="dxa"/>
        <w:jc w:val="left"/>
        <w:tblInd w:w="0" w:type="dxa"/>
        <w:tblLayout w:type="fixed"/>
        <w:tblCellMar>
          <w:top w:w="28" w:type="dxa"/>
          <w:left w:w="28" w:type="dxa"/>
          <w:bottom w:w="28" w:type="dxa"/>
          <w:right w:w="28" w:type="dxa"/>
        </w:tblCellMar>
      </w:tblPr>
      <w:tblGrid>
        <w:gridCol w:w="1007"/>
        <w:gridCol w:w="814"/>
        <w:gridCol w:w="821"/>
        <w:gridCol w:w="481"/>
        <w:gridCol w:w="1407"/>
        <w:gridCol w:w="251"/>
        <w:gridCol w:w="109"/>
        <w:gridCol w:w="109"/>
        <w:gridCol w:w="109"/>
        <w:gridCol w:w="422"/>
        <w:gridCol w:w="1234"/>
        <w:gridCol w:w="220"/>
        <w:gridCol w:w="109"/>
        <w:gridCol w:w="109"/>
        <w:gridCol w:w="109"/>
        <w:gridCol w:w="211"/>
        <w:gridCol w:w="766"/>
        <w:gridCol w:w="109"/>
        <w:gridCol w:w="109"/>
        <w:gridCol w:w="109"/>
        <w:gridCol w:w="109"/>
        <w:gridCol w:w="431"/>
        <w:gridCol w:w="431"/>
        <w:gridCol w:w="619"/>
      </w:tblGrid>
      <w:tr>
        <w:trPr/>
        <w:tc>
          <w:tcPr>
            <w:tcW w:w="10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Carryforward with 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Carryforward Indefinitely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of Expiration</w:t>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2035 - 2043</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(gross, apportioned)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2024 - 2043</w:t>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credits </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2036 - 2038</w:t>
            </w:r>
          </w:p>
        </w:tc>
      </w:tr>
      <w:tr>
        <w:trPr/>
        <w:tc>
          <w:tcPr>
            <w:tcW w:w="26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941.6 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file a consolidated federal income tax return and certain state income tax returns. Tax years 2020 and forward are still subject to U.S. federal examinations. The federal statute of limitations is generally three years. Currently all state income and franchise tax returns are within each taxing authorities statute of limitations and are subject to examination.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10.</w:t>
      </w:r>
      <w:r>
        <w:rPr>
          <w:rFonts w:ascii="Times New Roman;sans-serif" w:hAnsi="Times New Roman;sans-serif"/>
          <w:b/>
          <w:color w:val="000000"/>
          <w:sz w:val="20"/>
        </w:rPr>
        <w:t>RESTRUCTURING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bidi w:val="0"/>
        <w:spacing w:lineRule="auto" w:line="288" w:before="0" w:after="180"/>
        <w:jc w:val="left"/>
        <w:rPr/>
      </w:pPr>
      <w:r>
        <w:rPr>
          <w:rFonts w:ascii="Times New Roman;sans-serif" w:hAnsi="Times New Roman;sans-serif"/>
          <w:b/>
          <w:color w:val="000000"/>
          <w:sz w:val="20"/>
        </w:rPr>
        <w:t>Employee costs</w:t>
      </w:r>
      <w:r>
        <w:rPr>
          <w:color w:val="000000"/>
        </w:rPr>
        <w:t>—</w:t>
      </w:r>
      <w:r>
        <w:rPr>
          <w:rFonts w:ascii="Times New Roman;sans-serif" w:hAnsi="Times New Roman;sans-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bidi w:val="0"/>
        <w:spacing w:lineRule="auto" w:line="288" w:before="0" w:after="180"/>
        <w:jc w:val="left"/>
        <w:rPr/>
      </w:pPr>
      <w:r>
        <w:rPr>
          <w:rFonts w:ascii="Times New Roman;sans-serif" w:hAnsi="Times New Roman;sans-serif"/>
          <w:b/>
          <w:color w:val="000000"/>
          <w:sz w:val="20"/>
        </w:rPr>
        <w:t>Real estate exit costs</w:t>
      </w:r>
      <w:r>
        <w:rPr>
          <w:color w:val="000000"/>
        </w:rPr>
        <w:t>—</w:t>
      </w:r>
      <w:r>
        <w:rPr>
          <w:rFonts w:ascii="Times New Roman;sans-serif" w:hAnsi="Times New Roman;sans-serif"/>
          <w:b w:val="false"/>
          <w:color w:val="000000"/>
          <w:sz w:val="20"/>
        </w:rPr>
        <w:t>consist of real estate exit costs primarily related to accelerated amortization of right-of-use assets, leasehold improvements and furniture and fixtures.</w:t>
      </w:r>
    </w:p>
    <w:p>
      <w:pPr>
        <w:pStyle w:val="TextBody"/>
        <w:bidi w:val="0"/>
        <w:spacing w:lineRule="auto" w:line="288" w:before="0" w:after="180"/>
        <w:jc w:val="left"/>
        <w:rPr/>
      </w:pPr>
      <w:r>
        <w:rPr>
          <w:rFonts w:ascii="Times New Roman;sans-serif" w:hAnsi="Times New Roman;sans-serif"/>
          <w:b/>
          <w:color w:val="000000"/>
          <w:sz w:val="20"/>
        </w:rPr>
        <w:t>Other costs</w:t>
      </w:r>
      <w:r>
        <w:rPr>
          <w:color w:val="000000"/>
        </w:rPr>
        <w:t>—</w:t>
      </w:r>
      <w:r>
        <w:rPr>
          <w:rFonts w:ascii="Times New Roman;sans-serif" w:hAnsi="Times New Roman;sans-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do not expect to incur any additional material expenditures in future periods related to restructuring actions that have occurred.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restructuring costs recorded in general and administrative expenses on the consolidated statements of operations and comprehensive loss:</w:t>
      </w:r>
    </w:p>
    <w:tbl>
      <w:tblPr>
        <w:tblW w:w="9451" w:type="dxa"/>
        <w:jc w:val="left"/>
        <w:tblInd w:w="0" w:type="dxa"/>
        <w:tblLayout w:type="fixed"/>
        <w:tblCellMar>
          <w:top w:w="28" w:type="dxa"/>
          <w:left w:w="28" w:type="dxa"/>
          <w:bottom w:w="28" w:type="dxa"/>
          <w:right w:w="28" w:type="dxa"/>
        </w:tblCellMar>
      </w:tblPr>
      <w:tblGrid>
        <w:gridCol w:w="755"/>
        <w:gridCol w:w="664"/>
        <w:gridCol w:w="665"/>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947"/>
        <w:gridCol w:w="2294"/>
        <w:gridCol w:w="494"/>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Cumulative Incurred Through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exit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costs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a rollforward of the accrual for restructuring costs recorded in accounts payable and accrued expenses on the consolidated balance sheets:</w:t>
      </w:r>
    </w:p>
    <w:tbl>
      <w:tblPr>
        <w:tblW w:w="8333" w:type="dxa"/>
        <w:jc w:val="left"/>
        <w:tblInd w:w="0" w:type="dxa"/>
        <w:tblLayout w:type="fixed"/>
        <w:tblCellMar>
          <w:top w:w="28" w:type="dxa"/>
          <w:left w:w="28" w:type="dxa"/>
          <w:bottom w:w="28" w:type="dxa"/>
          <w:right w:w="28" w:type="dxa"/>
        </w:tblCellMar>
      </w:tblPr>
      <w:tblGrid>
        <w:gridCol w:w="1441"/>
        <w:gridCol w:w="1263"/>
        <w:gridCol w:w="1271"/>
        <w:gridCol w:w="348"/>
        <w:gridCol w:w="670"/>
        <w:gridCol w:w="182"/>
        <w:gridCol w:w="109"/>
        <w:gridCol w:w="109"/>
        <w:gridCol w:w="109"/>
        <w:gridCol w:w="109"/>
        <w:gridCol w:w="109"/>
        <w:gridCol w:w="270"/>
        <w:gridCol w:w="520"/>
        <w:gridCol w:w="139"/>
        <w:gridCol w:w="109"/>
        <w:gridCol w:w="109"/>
        <w:gridCol w:w="109"/>
        <w:gridCol w:w="318"/>
        <w:gridCol w:w="612"/>
        <w:gridCol w:w="164"/>
        <w:gridCol w:w="109"/>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liability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December 31, 2021</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December 31, 2022</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December 31, 2023</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11.</w:t>
      </w:r>
      <w:r>
        <w:rPr>
          <w:rFonts w:ascii="Times New Roman;sans-serif" w:hAnsi="Times New Roman;sans-serif"/>
          <w:b/>
          <w:color w:val="000000"/>
          <w:sz w:val="20"/>
        </w:rPr>
        <w:t>CAPITAL STOCK</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total authorized shares consist of 1.0 billion shares of Class A common stock, 269.0 million shares of Class B common stock, and 100.0 million shares of 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issued redeemable convertible preferred stock to Carvana pursuant to the Investment Agreement. We received $126.5 million of gross proceeds from the issuance of 14.1 million shares of redeemable convertible preferred stock designated as the Series A Preferred Stock, which have a redemption value of $126.5 million, and issued Carvana eight tranches of warrants to purchase shares of the Company’s Class A common stock. Further details on the warrants are discussed in Note 12, “Share-Based Compensation.” In connection with the Investment Agreement, we incurred issuance costs of $19.6 million. As of December 31, 2023, there was $3.0 million of unpaid issuance costs contingent upon certain warrant vesting milestones in connection with the Investment Agreement. We allocated the issuance costs between the preferred stock and the warrants based on their relative fair values. The warrants are recognized on a pro-rata basis considering Carvana’s progress toward achieving the milestones and the allocated issuance costs are reclassified from other assets to contra-equity on that same pro-rata basis. As of December 31, 2023, issuance costs were recognized in our consolidated balance sheets as follows: $14.5 million as contra-redeemable convertible preferred stock; $4.7 million as contra-additional paid-in capital; and $0.4 million as other assets. The carrying value of our preferred stock was $112.0 million as of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our board of directors approved the retirement of 0.3 million shares of Class A common stock that were held in treasury at $0.8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voting, dividend and liquidation rights of the holders of our Class A and Class B common stock are subject to and qualified by the rights, powers, and preferences of the holders of the preferred stock. Other rights, privileges, and preferences of our capital stock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i/>
          <w:color w:val="000000"/>
          <w:sz w:val="20"/>
        </w:rPr>
        <w:t>Dividends</w:t>
      </w:r>
      <w:r>
        <w:rPr>
          <w:color w:val="000000"/>
        </w:rPr>
        <w:t>—</w:t>
      </w:r>
      <w:r>
        <w:rPr>
          <w:rFonts w:ascii="Times New Roman;sans-serif" w:hAnsi="Times New Roman;sans-serif"/>
          <w:b w:val="false"/>
          <w:color w:val="000000"/>
          <w:sz w:val="20"/>
        </w:rPr>
        <w:t xml:space="preserve">Class A and Class B common stock are entitled to the same dividend rights. We are not permitted to declare, pay, or set aside any dividends on shares of any other class or series of capital stock unless the holders of the preferred stock then outstanding first receive, or simultaneously receive, a dividend.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Beginning after the fifth anniversary of the Integrated Platform becoming available to customers, Series A Preferred Stockholders are entitled to receive, when, as and if declared by the board of directors, a dividend at an annual rate of 5% of the liquidation preference per share of Series A Preferred Stock, if our 90-day volume-weighted average price per share of Class A common stock is below the conversion price at that time.</w:t>
      </w:r>
    </w:p>
    <w:p>
      <w:pPr>
        <w:pStyle w:val="TextBody"/>
        <w:bidi w:val="0"/>
        <w:spacing w:lineRule="auto" w:line="288" w:before="0" w:after="180"/>
        <w:jc w:val="left"/>
        <w:rPr/>
      </w:pPr>
      <w:r>
        <w:rPr>
          <w:rFonts w:ascii="Times New Roman;sans-serif" w:hAnsi="Times New Roman;sans-serif"/>
          <w:b/>
          <w:i/>
          <w:color w:val="000000"/>
          <w:sz w:val="20"/>
        </w:rPr>
        <w:t>Voting Rights</w:t>
      </w:r>
      <w:r>
        <w:rPr>
          <w:color w:val="000000"/>
        </w:rPr>
        <w:t>—</w:t>
      </w:r>
      <w:r>
        <w:rPr>
          <w:rFonts w:ascii="Times New Roman;sans-serif" w:hAnsi="Times New Roman;sans-serif"/>
          <w:b w:val="false"/>
          <w:color w:val="000000"/>
          <w:sz w:val="20"/>
        </w:rPr>
        <w:t>Our Class B common stock has ten votes per share and our Class A common stock has one vote per share. Holders of preferred stock are entitled to vote, together with the holders of Class A common stock and Class B common stock, on an as-converted basis on all matters submitted to a vote of the holders of Class A common stock and Class B common stock.</w:t>
      </w:r>
    </w:p>
    <w:p>
      <w:pPr>
        <w:pStyle w:val="TextBody"/>
        <w:bidi w:val="0"/>
        <w:spacing w:lineRule="auto" w:line="288" w:before="0" w:after="180"/>
        <w:jc w:val="left"/>
        <w:rPr/>
      </w:pPr>
      <w:r>
        <w:rPr>
          <w:rFonts w:ascii="Times New Roman;sans-serif" w:hAnsi="Times New Roman;sans-serif"/>
          <w:b/>
          <w:i/>
          <w:color w:val="000000"/>
          <w:sz w:val="20"/>
        </w:rPr>
        <w:t>Liquidation Preferences</w:t>
      </w:r>
      <w:r>
        <w:rPr>
          <w:color w:val="000000"/>
        </w:rPr>
        <w:t>—</w:t>
      </w:r>
      <w:r>
        <w:rPr>
          <w:rFonts w:ascii="Times New Roman;sans-serif" w:hAnsi="Times New Roman;sans-serif"/>
          <w:b w:val="false"/>
          <w:color w:val="000000"/>
          <w:sz w:val="20"/>
        </w:rPr>
        <w:t>In the event of any voluntary or involuntary liquidation, dissolution, or winding up of our business, after payment or provision for payment of the debts and other liabilities of the Company, the holders of Series A Preferred Stock are entitled to receive, before any distribution out of the assets of the Company may be made to or set aside for the holders of any common stock, an amount per share equal to the greater of (i) $9.00 per share plus the amount of any accrued but unpaid dividends thereon as of such date and (ii) the amount such preferred stockholders would have received had they, immediately prior to such an event, converted such shares of Series A Preferred Stock into Class A common stock. Thereafter, holders of Class A and Class B common stock are entitled to any remaining proceeds on a pro-rata basis. Class A and Class B common stock are entitled to the same liquidation rights.</w:t>
      </w:r>
    </w:p>
    <w:p>
      <w:pPr>
        <w:pStyle w:val="TextBody"/>
        <w:bidi w:val="0"/>
        <w:spacing w:lineRule="auto" w:line="288" w:before="0" w:after="180"/>
        <w:jc w:val="left"/>
        <w:rPr/>
      </w:pPr>
      <w:r>
        <w:rPr>
          <w:rFonts w:ascii="Times New Roman;sans-serif" w:hAnsi="Times New Roman;sans-serif"/>
          <w:b/>
          <w:i/>
          <w:color w:val="000000"/>
          <w:sz w:val="20"/>
        </w:rPr>
        <w:t>Conversion and Transfer</w:t>
      </w:r>
      <w:r>
        <w:rPr>
          <w:color w:val="000000"/>
        </w:rPr>
        <w:t>—</w:t>
      </w:r>
      <w:r>
        <w:rPr>
          <w:rFonts w:ascii="Times New Roman;sans-serif" w:hAnsi="Times New Roman;sans-serif"/>
          <w:b w:val="false"/>
          <w:color w:val="000000"/>
          <w:sz w:val="20"/>
        </w:rPr>
        <w:t>Each share of Class B common stock is convertible at any time into one share of Class A common stock. Future transfers by holders of our Class B common stock will generally result in those shares converting into shares of our Class A common stock, subject to limited exceptions, such as certain transfers effected for tax or estate planning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A Preferred Stock shall be convertible, at the option of the holder thereof, at any time, or from time to time, into shares of Class A common stock at a conversion rate equal to the liquidation preference divided by the conversion price. As of December 31, 2023, the conversion price was $162.00 per share and the Series A Preferred Stock was convertible into 0.8 million shares of Class A common stock. To the extent that such conversion would cause the holder to hold in excess of 9.9% of the voting stock, such conversion would be subject to approval from the Ohio Director of Insurance. </w:t>
      </w:r>
    </w:p>
    <w:p>
      <w:pPr>
        <w:pStyle w:val="TextBody"/>
        <w:bidi w:val="0"/>
        <w:spacing w:lineRule="auto" w:line="288" w:before="0" w:after="180"/>
        <w:jc w:val="left"/>
        <w:rPr/>
      </w:pPr>
      <w:r>
        <w:rPr>
          <w:rFonts w:ascii="Times New Roman;sans-serif" w:hAnsi="Times New Roman;sans-serif"/>
          <w:b/>
          <w:i/>
          <w:color w:val="000000"/>
          <w:sz w:val="20"/>
        </w:rPr>
        <w:t>Redemption and Balance Sheet Classification</w:t>
      </w:r>
      <w:r>
        <w:rPr>
          <w:color w:val="000000"/>
        </w:rPr>
        <w:t>—</w:t>
      </w:r>
      <w:r>
        <w:rPr>
          <w:rFonts w:ascii="Times New Roman;sans-serif" w:hAnsi="Times New Roman;sans-serif"/>
          <w:b w:val="false"/>
          <w:color w:val="000000"/>
          <w:sz w:val="20"/>
        </w:rPr>
        <w:t>The redeemable convertible preferred stock is classified as mezzanine equity because while it is not mandatorily redeemable, it will become convertible or redeemable at the option of the preferred stockholder in connection with any change of control of the Company, which is considered not solely within our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12.</w:t>
      </w:r>
      <w:r>
        <w:rPr>
          <w:rFonts w:ascii="Times New Roman;sans-serif" w:hAnsi="Times New Roman;sans-serif"/>
          <w:b/>
          <w:color w:val="000000"/>
          <w:sz w:val="20"/>
        </w:rPr>
        <w:t>SHARE-BASED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0" w:after="180"/>
        <w:jc w:val="left"/>
        <w:rPr/>
      </w:pPr>
      <w:r>
        <w:rPr>
          <w:rFonts w:ascii="Times New Roman;sans-serif" w:hAnsi="Times New Roman;sans-serif"/>
          <w:b w:val="false"/>
          <w:color w:val="000000"/>
          <w:sz w:val="20"/>
        </w:rPr>
        <w:t xml:space="preserve">As part of the Investment Agreement discussed in Note 11, “Capital Stock,” we issued Carvana </w:t>
      </w:r>
      <w:r>
        <w:rPr>
          <w:rFonts w:ascii="Times New Roman;sans-serif" w:hAnsi="Times New Roman;sans-serif"/>
          <w:b w:val="false"/>
          <w:color w:val="000000"/>
          <w:sz w:val="20"/>
          <w:shd w:fill="FFFFFF" w:val="clear"/>
        </w:rPr>
        <w:t>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w:t>
      </w:r>
      <w:r>
        <w:rPr>
          <w:color w:val="000000"/>
        </w:rPr>
        <w:t xml:space="preserve"> </w:t>
      </w:r>
      <w:r>
        <w:rPr>
          <w:rFonts w:ascii="Times New Roman;sans-serif" w:hAnsi="Times New Roman;sans-serif"/>
          <w:b w:val="false"/>
          <w:color w:val="000000"/>
          <w:sz w:val="20"/>
        </w:rPr>
        <w:t>7.2 million shares of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Platform and policies originating through the Integrated Platform.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 the Integrated Platform launched and as a result, tranche 1 of our short-term warrants vested. In November 2023, tranche 2 of our short-term warrants vested as a result of policies originated through the Integrated Platform. There were no exercises upon vesting and all warrants remain outstanding. All of these warrants are out-of-the-money and therefore have no intrinsic value as of December 31,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warrant compensation expense recorded in the consolidated statements of operations and comprehensive loss:</w:t>
      </w:r>
    </w:p>
    <w:tbl>
      <w:tblPr>
        <w:tblW w:w="6395" w:type="dxa"/>
        <w:jc w:val="left"/>
        <w:tblInd w:w="0" w:type="dxa"/>
        <w:tblLayout w:type="fixed"/>
        <w:tblCellMar>
          <w:top w:w="28" w:type="dxa"/>
          <w:left w:w="28" w:type="dxa"/>
          <w:bottom w:w="28" w:type="dxa"/>
          <w:right w:w="28" w:type="dxa"/>
        </w:tblCellMar>
      </w:tblPr>
      <w:tblGrid>
        <w:gridCol w:w="1120"/>
        <w:gridCol w:w="982"/>
        <w:gridCol w:w="988"/>
        <w:gridCol w:w="211"/>
        <w:gridCol w:w="511"/>
        <w:gridCol w:w="109"/>
        <w:gridCol w:w="109"/>
        <w:gridCol w:w="109"/>
        <w:gridCol w:w="109"/>
        <w:gridCol w:w="211"/>
        <w:gridCol w:w="511"/>
        <w:gridCol w:w="109"/>
        <w:gridCol w:w="109"/>
        <w:gridCol w:w="109"/>
        <w:gridCol w:w="109"/>
        <w:gridCol w:w="211"/>
        <w:gridCol w:w="406"/>
        <w:gridCol w:w="109"/>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short-term warrants will expire September 1, 2025 and the long-term warrants will expire September 1, 2027. The following table provides other key terms of the warrants:</w:t>
      </w:r>
    </w:p>
    <w:tbl>
      <w:tblPr>
        <w:tblW w:w="10205" w:type="dxa"/>
        <w:jc w:val="left"/>
        <w:tblInd w:w="0" w:type="dxa"/>
        <w:tblLayout w:type="fixed"/>
        <w:tblCellMar>
          <w:top w:w="28" w:type="dxa"/>
          <w:left w:w="28" w:type="dxa"/>
          <w:bottom w:w="28" w:type="dxa"/>
          <w:right w:w="28" w:type="dxa"/>
        </w:tblCellMar>
      </w:tblPr>
      <w:tblGrid>
        <w:gridCol w:w="534"/>
        <w:gridCol w:w="469"/>
        <w:gridCol w:w="473"/>
        <w:gridCol w:w="109"/>
        <w:gridCol w:w="109"/>
        <w:gridCol w:w="109"/>
        <w:gridCol w:w="226"/>
        <w:gridCol w:w="774"/>
        <w:gridCol w:w="116"/>
        <w:gridCol w:w="109"/>
        <w:gridCol w:w="109"/>
        <w:gridCol w:w="109"/>
        <w:gridCol w:w="343"/>
        <w:gridCol w:w="343"/>
        <w:gridCol w:w="345"/>
        <w:gridCol w:w="109"/>
        <w:gridCol w:w="109"/>
        <w:gridCol w:w="109"/>
        <w:gridCol w:w="606"/>
        <w:gridCol w:w="1468"/>
        <w:gridCol w:w="312"/>
        <w:gridCol w:w="109"/>
        <w:gridCol w:w="109"/>
        <w:gridCol w:w="109"/>
        <w:gridCol w:w="852"/>
        <w:gridCol w:w="844"/>
        <w:gridCol w:w="1192"/>
      </w:tblGrid>
      <w:tr>
        <w:trPr/>
        <w:tc>
          <w:tcPr>
            <w:tcW w:w="5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7286" w:type="dxa"/>
            <w:gridSpan w:val="18"/>
            <w:tcBorders/>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Vesting Condition</w:t>
            </w:r>
          </w:p>
        </w:tc>
      </w:tr>
      <w:tr>
        <w:trPr/>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Completing the Integrated Platform</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50,000 policy originations</w:t>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75,000 policy originations</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 policy originations</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 policy originations</w:t>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 policy originations</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400,000 policy originations</w:t>
            </w:r>
          </w:p>
        </w:tc>
      </w:tr>
      <w:tr>
        <w:trPr/>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3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500,000 policy originations</w:t>
            </w:r>
          </w:p>
        </w:tc>
      </w:tr>
      <w:tr>
        <w:trPr/>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$3.8 million of unrecognized compensation cost related to the warrants. The remaining costs are expected to be recognized over a period of approximately one year.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Share-Based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2020 Equity Incentive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an equity incentive plan, the 2020 Equity Incentive Plan, or the 2020 Plan, for the issuance and grant of equity awards (restricted stock, RSUs, PSUs, and incentive and nonqualified stock options) to our officers, directors, employees and certain advisors. As of December 31, 2023, the number of shares authorized under the 2020 Plan was 3.8 million shares of Class A common stock, inclusive of available shares previously reserved for issuance under the 2015 Equity Incentive Plan, or the 2015 Plan, and subject to increase for awards previously issued under the 2015 Plan which are forfeited or lapse unexercised. In addition, this reserve will automatically increase on January 1 of each year, which commenced on January 1, 2021 and will end on (and including) January 1, 2030, in an amount equal to 4% of the total number of shares of capital stock outstanding on December 31 of the preceding year. However, the board of directors may act prior to January 1 of a given year to provide that the increase for such year will be a lesser number of shares of Class A common stock. The aggregate maximum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shares of Class A common stock that may be issued pursuant to the exercise of incentive stock options is 6.7 million shares. As of December 31, 2023, the number of shares available for issuance under the 2020 Plan was 1.2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our board of directors approved the First Amendment to our 2020 Employee Stock Purchase Plan, or ESPP. The number of shares of Class A common stock initially reserved for issuance under the ESPP is limited to 0.3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 of the preceding year and (ii) 0.4 million shares of Class A common stock. Our board of directors may act prior to January 1 of a given year to provide that the increase for such year will be a lesser number of shares of Class A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2015 Equity Incentive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board of directors of the Company adopted the 2015 Plan under which the Company could grant equity awards (restricted stock, and incentive and nonqualified stock options) to its officers, directors, employees and certain advisors. In October 2020, this plan was superseded by the 2020 Plan and all reserved shares under the 2015 Plan were transferred to the 2020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employee share-based compensation expense recorded in the consolidated statements of operations and comprehensive loss:</w:t>
      </w:r>
    </w:p>
    <w:tbl>
      <w:tblPr>
        <w:tblW w:w="6627" w:type="dxa"/>
        <w:jc w:val="left"/>
        <w:tblInd w:w="0" w:type="dxa"/>
        <w:tblLayout w:type="fixed"/>
        <w:tblCellMar>
          <w:top w:w="28" w:type="dxa"/>
          <w:left w:w="28" w:type="dxa"/>
          <w:bottom w:w="28" w:type="dxa"/>
          <w:right w:w="28" w:type="dxa"/>
        </w:tblCellMar>
      </w:tblPr>
      <w:tblGrid>
        <w:gridCol w:w="1245"/>
        <w:gridCol w:w="1092"/>
        <w:gridCol w:w="1098"/>
        <w:gridCol w:w="211"/>
        <w:gridCol w:w="511"/>
        <w:gridCol w:w="109"/>
        <w:gridCol w:w="109"/>
        <w:gridCol w:w="109"/>
        <w:gridCol w:w="109"/>
        <w:gridCol w:w="211"/>
        <w:gridCol w:w="511"/>
        <w:gridCol w:w="109"/>
        <w:gridCol w:w="109"/>
        <w:gridCol w:w="109"/>
        <w:gridCol w:w="109"/>
        <w:gridCol w:w="211"/>
        <w:gridCol w:w="51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employee share-based compensation expense by type of award:</w:t>
      </w:r>
    </w:p>
    <w:tbl>
      <w:tblPr>
        <w:tblW w:w="7241" w:type="dxa"/>
        <w:jc w:val="left"/>
        <w:tblInd w:w="0" w:type="dxa"/>
        <w:tblLayout w:type="fixed"/>
        <w:tblCellMar>
          <w:top w:w="28" w:type="dxa"/>
          <w:left w:w="28" w:type="dxa"/>
          <w:bottom w:w="28" w:type="dxa"/>
          <w:right w:w="28" w:type="dxa"/>
        </w:tblCellMar>
      </w:tblPr>
      <w:tblGrid>
        <w:gridCol w:w="1467"/>
        <w:gridCol w:w="1288"/>
        <w:gridCol w:w="1294"/>
        <w:gridCol w:w="211"/>
        <w:gridCol w:w="511"/>
        <w:gridCol w:w="109"/>
        <w:gridCol w:w="109"/>
        <w:gridCol w:w="109"/>
        <w:gridCol w:w="109"/>
        <w:gridCol w:w="211"/>
        <w:gridCol w:w="511"/>
        <w:gridCol w:w="109"/>
        <w:gridCol w:w="109"/>
        <w:gridCol w:w="109"/>
        <w:gridCol w:w="109"/>
        <w:gridCol w:w="211"/>
        <w:gridCol w:w="51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unit expense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$1.0 million, $21.0 million and $1.9 million of unrecognized compensation cost related to unvested stock options, RSUs and PSU’s, respectively. The remaining costs are expected to be recognized over a period of approximately three years for unvested stock options and four years for RSUs and PSUs.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PSUs is estimated on the date of grant using a Monte Carlo simulation with Geometric Brownian Motion that uses certain inputs, assumptions and estimates, as follows: expected term of approximately five years, based on the contractual term of the PSUs; risk-free interest rate of 4.06%, based on U.S. Constant Maturity Yield Curve over a similar term; dividend rate of 0.0%, based on our historical and expected future dividend payouts; and volatility of 76%, and other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other key terms of the PSUs:</w:t>
      </w:r>
    </w:p>
    <w:tbl>
      <w:tblPr>
        <w:tblW w:w="9199" w:type="dxa"/>
        <w:jc w:val="left"/>
        <w:tblInd w:w="0" w:type="dxa"/>
        <w:tblLayout w:type="fixed"/>
        <w:tblCellMar>
          <w:top w:w="28" w:type="dxa"/>
          <w:left w:w="28" w:type="dxa"/>
          <w:bottom w:w="28" w:type="dxa"/>
          <w:right w:w="28" w:type="dxa"/>
        </w:tblCellMar>
      </w:tblPr>
      <w:tblGrid>
        <w:gridCol w:w="1157"/>
        <w:gridCol w:w="1017"/>
        <w:gridCol w:w="1021"/>
        <w:gridCol w:w="109"/>
        <w:gridCol w:w="109"/>
        <w:gridCol w:w="109"/>
        <w:gridCol w:w="314"/>
        <w:gridCol w:w="918"/>
        <w:gridCol w:w="162"/>
        <w:gridCol w:w="109"/>
        <w:gridCol w:w="109"/>
        <w:gridCol w:w="109"/>
        <w:gridCol w:w="354"/>
        <w:gridCol w:w="354"/>
        <w:gridCol w:w="356"/>
        <w:gridCol w:w="109"/>
        <w:gridCol w:w="109"/>
        <w:gridCol w:w="109"/>
        <w:gridCol w:w="618"/>
        <w:gridCol w:w="1496"/>
        <w:gridCol w:w="451"/>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4283" w:type="dxa"/>
            <w:gridSpan w:val="1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Price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per Share</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and Performance-Based 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and PSU activity for the years ended December 31, 2023 and 2022 is as follows:</w:t>
      </w:r>
    </w:p>
    <w:tbl>
      <w:tblPr>
        <w:tblW w:w="10205" w:type="dxa"/>
        <w:jc w:val="left"/>
        <w:tblInd w:w="0" w:type="dxa"/>
        <w:tblLayout w:type="fixed"/>
        <w:tblCellMar>
          <w:top w:w="28" w:type="dxa"/>
          <w:left w:w="28" w:type="dxa"/>
          <w:bottom w:w="28" w:type="dxa"/>
          <w:right w:w="28" w:type="dxa"/>
        </w:tblCellMar>
      </w:tblPr>
      <w:tblGrid>
        <w:gridCol w:w="1666"/>
        <w:gridCol w:w="1464"/>
        <w:gridCol w:w="1470"/>
        <w:gridCol w:w="109"/>
        <w:gridCol w:w="109"/>
        <w:gridCol w:w="109"/>
        <w:gridCol w:w="432"/>
        <w:gridCol w:w="432"/>
        <w:gridCol w:w="433"/>
        <w:gridCol w:w="109"/>
        <w:gridCol w:w="109"/>
        <w:gridCol w:w="109"/>
        <w:gridCol w:w="298"/>
        <w:gridCol w:w="1018"/>
        <w:gridCol w:w="155"/>
        <w:gridCol w:w="109"/>
        <w:gridCol w:w="109"/>
        <w:gridCol w:w="109"/>
        <w:gridCol w:w="444"/>
        <w:gridCol w:w="1080"/>
        <w:gridCol w:w="332"/>
      </w:tblGrid>
      <w:tr>
        <w:trPr/>
        <w:tc>
          <w:tcPr>
            <w:tcW w:w="166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Restricted Stock Units and 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4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for the years ended December 31, 2023 and 2022 is as follows:</w:t>
      </w:r>
    </w:p>
    <w:tbl>
      <w:tblPr>
        <w:tblW w:w="10205" w:type="dxa"/>
        <w:jc w:val="left"/>
        <w:tblInd w:w="0" w:type="dxa"/>
        <w:tblLayout w:type="fixed"/>
        <w:tblCellMar>
          <w:top w:w="28" w:type="dxa"/>
          <w:left w:w="28" w:type="dxa"/>
          <w:bottom w:w="28" w:type="dxa"/>
          <w:right w:w="28" w:type="dxa"/>
        </w:tblCellMar>
      </w:tblPr>
      <w:tblGrid>
        <w:gridCol w:w="683"/>
        <w:gridCol w:w="600"/>
        <w:gridCol w:w="605"/>
        <w:gridCol w:w="109"/>
        <w:gridCol w:w="109"/>
        <w:gridCol w:w="109"/>
        <w:gridCol w:w="330"/>
        <w:gridCol w:w="330"/>
        <w:gridCol w:w="332"/>
        <w:gridCol w:w="109"/>
        <w:gridCol w:w="109"/>
        <w:gridCol w:w="109"/>
        <w:gridCol w:w="431"/>
        <w:gridCol w:w="1262"/>
        <w:gridCol w:w="224"/>
        <w:gridCol w:w="109"/>
        <w:gridCol w:w="109"/>
        <w:gridCol w:w="109"/>
        <w:gridCol w:w="904"/>
        <w:gridCol w:w="904"/>
        <w:gridCol w:w="905"/>
        <w:gridCol w:w="109"/>
        <w:gridCol w:w="109"/>
        <w:gridCol w:w="109"/>
        <w:gridCol w:w="377"/>
        <w:gridCol w:w="727"/>
        <w:gridCol w:w="283"/>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total options outstanding and exercisable at December 31, 2023: </w:t>
      </w:r>
    </w:p>
    <w:tbl>
      <w:tblPr>
        <w:tblW w:w="10205" w:type="dxa"/>
        <w:jc w:val="left"/>
        <w:tblInd w:w="0" w:type="dxa"/>
        <w:tblLayout w:type="fixed"/>
        <w:tblCellMar>
          <w:top w:w="28" w:type="dxa"/>
          <w:left w:w="28" w:type="dxa"/>
          <w:bottom w:w="28" w:type="dxa"/>
          <w:right w:w="28" w:type="dxa"/>
        </w:tblCellMar>
      </w:tblPr>
      <w:tblGrid>
        <w:gridCol w:w="634"/>
        <w:gridCol w:w="541"/>
        <w:gridCol w:w="548"/>
        <w:gridCol w:w="109"/>
        <w:gridCol w:w="109"/>
        <w:gridCol w:w="109"/>
        <w:gridCol w:w="416"/>
        <w:gridCol w:w="416"/>
        <w:gridCol w:w="418"/>
        <w:gridCol w:w="128"/>
        <w:gridCol w:w="128"/>
        <w:gridCol w:w="128"/>
        <w:gridCol w:w="474"/>
        <w:gridCol w:w="1564"/>
        <w:gridCol w:w="264"/>
        <w:gridCol w:w="128"/>
        <w:gridCol w:w="128"/>
        <w:gridCol w:w="128"/>
        <w:gridCol w:w="1120"/>
        <w:gridCol w:w="1120"/>
        <w:gridCol w:w="1595"/>
      </w:tblGrid>
      <w:tr>
        <w:trPr/>
        <w:tc>
          <w:tcPr>
            <w:tcW w:w="63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 Outstanding and Exercisable</w:t>
            </w:r>
          </w:p>
        </w:tc>
      </w:tr>
      <w:tr>
        <w:trPr/>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r>
      <w:tr>
        <w:trPr/>
        <w:tc>
          <w:tcPr>
            <w:tcW w:w="1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Range of Exercise Prices: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$0.60 - $21.42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$21.42 - $130.50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$130.50 - $231.66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2020 and 2015 Plans permit the optionee to early exercise options to obtain preferred tax treatment before the completion of the award’s requisite service or vesting period. If the employee terminates employment before the end of this period, the 2020 and 2015 Plans allow us to repurchase the shares, at our option, at the exercise price of the award. The repurchase feature is used to incentivize the employee to remain through the requisite service or vesting period to receive the full economic benefit of the award. As of December 31, 2023 and 2022, share repurchase obligations were immaterial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13.</w:t>
      </w:r>
      <w:r>
        <w:rPr>
          <w:rFonts w:ascii="Times New Roman;sans-serif" w:hAnsi="Times New Roman;sans-serif"/>
          <w:b/>
          <w:color w:val="000000"/>
          <w:sz w:val="20"/>
        </w:rPr>
        <w:t xml:space="preserve">COMMITMENTS AND CONTINGENCIES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normal course of business, we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by remaining maturity, future commitments related to other arrangements as of December 31, 2023:</w:t>
      </w:r>
    </w:p>
    <w:tbl>
      <w:tblPr>
        <w:tblW w:w="3784"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109"/>
        <w:gridCol w:w="109"/>
        <w:gridCol w:w="371"/>
        <w:gridCol w:w="901"/>
        <w:gridCol w:w="273"/>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w:t>
              <w:br/>
              <w:t>Obligations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Root Insurance Company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Root Insurance Company’s motion to dismiss the claims set forth in the complaint was granted and the lawsuit was dismissed with prejudice on August 22, 2023, which dismissal has been appealed.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2022, a verified shareholder derivative complaint was filed against certain of the Company’s current and former officers and directors in the U.S. District Court for the District of Delaware (Case No. 1:22-cv-00865). The Company was named as a nominal defendant. The complaint alleges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are liable under Section 11(f)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final resolution of the below matter and,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Rule 10b-5 thereunder, and of Sections 11 and 15 of the Securities Act in connection with and following the Company’s initial public offering. The complaint seeks unspecified damages. The defendants’ motion to dismiss the claims set forth in the complaint was granted and the lawsuit was dismissed with prejudice on March 31, 2023, which dismissal has been appealed. The Company believes that the claims in this lawsuit are without merit and intends to defend against them vigorously. The lawsuit is in the early stages and,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14.</w:t>
      </w:r>
      <w:r>
        <w:rPr>
          <w:rFonts w:ascii="Times New Roman;sans-serif" w:hAnsi="Times New Roman;sans-serif"/>
          <w:b/>
          <w:color w:val="000000"/>
          <w:sz w:val="20"/>
        </w:rPr>
        <w:t>OTHER COMPREHENSIVE INCOME (LOSS) AND ACCUMULATED OTHER COMPREHENSIVE (LOSS)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our accumulated other comprehensive (loss) income, or AOCI, for the years ended December 31, 2023, 2022 and 2021: </w:t>
      </w:r>
    </w:p>
    <w:tbl>
      <w:tblPr>
        <w:tblW w:w="9281" w:type="dxa"/>
        <w:jc w:val="left"/>
        <w:tblInd w:w="0" w:type="dxa"/>
        <w:tblLayout w:type="fixed"/>
        <w:tblCellMar>
          <w:top w:w="28" w:type="dxa"/>
          <w:left w:w="28" w:type="dxa"/>
          <w:bottom w:w="28" w:type="dxa"/>
          <w:right w:w="28" w:type="dxa"/>
        </w:tblCellMar>
      </w:tblPr>
      <w:tblGrid>
        <w:gridCol w:w="2266"/>
        <w:gridCol w:w="1987"/>
        <w:gridCol w:w="2001"/>
        <w:gridCol w:w="211"/>
        <w:gridCol w:w="481"/>
        <w:gridCol w:w="109"/>
        <w:gridCol w:w="109"/>
        <w:gridCol w:w="109"/>
        <w:gridCol w:w="109"/>
        <w:gridCol w:w="211"/>
        <w:gridCol w:w="481"/>
        <w:gridCol w:w="109"/>
        <w:gridCol w:w="109"/>
        <w:gridCol w:w="109"/>
        <w:gridCol w:w="109"/>
        <w:gridCol w:w="211"/>
        <w:gridCol w:w="406"/>
        <w:gridCol w:w="154"/>
      </w:tblGrid>
      <w:tr>
        <w:trPr/>
        <w:tc>
          <w:tcPr>
            <w:tcW w:w="226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(gains) on investments reclassified from AOCI to net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15.</w:t>
      </w:r>
      <w:r>
        <w:rPr>
          <w:rFonts w:ascii="Times New Roman;sans-serif" w:hAnsi="Times New Roman;sans-serif"/>
          <w:b/>
          <w:color w:val="000000"/>
          <w:sz w:val="20"/>
        </w:rPr>
        <w:t>LOSS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computation of basic and diluted loss per share for both Class A and Class B common stock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2349"/>
        <w:gridCol w:w="2053"/>
        <w:gridCol w:w="2090"/>
        <w:gridCol w:w="211"/>
        <w:gridCol w:w="684"/>
        <w:gridCol w:w="109"/>
        <w:gridCol w:w="109"/>
        <w:gridCol w:w="109"/>
        <w:gridCol w:w="109"/>
        <w:gridCol w:w="211"/>
        <w:gridCol w:w="684"/>
        <w:gridCol w:w="109"/>
        <w:gridCol w:w="109"/>
        <w:gridCol w:w="109"/>
        <w:gridCol w:w="109"/>
        <w:gridCol w:w="211"/>
        <w:gridCol w:w="684"/>
        <w:gridCol w:w="156"/>
      </w:tblGrid>
      <w:tr>
        <w:trPr/>
        <w:tc>
          <w:tcPr>
            <w:tcW w:w="234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6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excluded the following potentially dilutive common stock equivalents, presented based on amounts outstanding at each year end, from the computation of diluted EPS attributable to common stockholders for the years indicated because including them would have had an anti-dilutive effect:</w:t>
      </w:r>
    </w:p>
    <w:tbl>
      <w:tblPr>
        <w:tblW w:w="8931" w:type="dxa"/>
        <w:jc w:val="left"/>
        <w:tblInd w:w="0" w:type="dxa"/>
        <w:tblLayout w:type="fixed"/>
        <w:tblCellMar>
          <w:top w:w="28" w:type="dxa"/>
          <w:left w:w="28" w:type="dxa"/>
          <w:bottom w:w="28" w:type="dxa"/>
          <w:right w:w="28" w:type="dxa"/>
        </w:tblCellMar>
      </w:tblPr>
      <w:tblGrid>
        <w:gridCol w:w="2157"/>
        <w:gridCol w:w="1903"/>
        <w:gridCol w:w="1910"/>
        <w:gridCol w:w="255"/>
        <w:gridCol w:w="256"/>
        <w:gridCol w:w="174"/>
        <w:gridCol w:w="174"/>
        <w:gridCol w:w="174"/>
        <w:gridCol w:w="174"/>
        <w:gridCol w:w="203"/>
        <w:gridCol w:w="203"/>
        <w:gridCol w:w="174"/>
        <w:gridCol w:w="174"/>
        <w:gridCol w:w="174"/>
        <w:gridCol w:w="174"/>
        <w:gridCol w:w="203"/>
        <w:gridCol w:w="203"/>
        <w:gridCol w:w="246"/>
      </w:tblGrid>
      <w:tr>
        <w:trPr/>
        <w:tc>
          <w:tcPr>
            <w:tcW w:w="215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subject to repurchase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and PSUs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converted to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16.</w:t>
      </w:r>
      <w:r>
        <w:rPr>
          <w:rFonts w:ascii="Times New Roman;sans-serif" w:hAnsi="Times New Roman;sans-serif"/>
          <w:b/>
          <w:color w:val="000000"/>
          <w:sz w:val="20"/>
        </w:rPr>
        <w:t>STATUTORY FINANCIAL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Company and Root Property &amp; Casualty, or our insurance subsidiaries, are required to prepare statutory financial statements in conformity with the basis of accounting practices prescribed or permitted by the Ohio Department of Insurance. Ohio has adopted the National Association of Insurance Commissioners, or NAIC Accounting Practices and Procedures Manual as the basis of their statutory accounting practices. Root Insurance Company and Root Property &amp; Casualty’s statutory capital and surplus as of December 31, 2023 and 2022 and statutory net loss for the years ended December 31, 2023, 2022 and 2021 are as follows:</w:t>
      </w:r>
    </w:p>
    <w:tbl>
      <w:tblPr>
        <w:tblW w:w="8465" w:type="dxa"/>
        <w:jc w:val="left"/>
        <w:tblInd w:w="0" w:type="dxa"/>
        <w:tblLayout w:type="fixed"/>
        <w:tblCellMar>
          <w:top w:w="28" w:type="dxa"/>
          <w:left w:w="28" w:type="dxa"/>
          <w:bottom w:w="28" w:type="dxa"/>
          <w:right w:w="28" w:type="dxa"/>
        </w:tblCellMar>
      </w:tblPr>
      <w:tblGrid>
        <w:gridCol w:w="805"/>
        <w:gridCol w:w="705"/>
        <w:gridCol w:w="709"/>
        <w:gridCol w:w="211"/>
        <w:gridCol w:w="586"/>
        <w:gridCol w:w="109"/>
        <w:gridCol w:w="109"/>
        <w:gridCol w:w="109"/>
        <w:gridCol w:w="109"/>
        <w:gridCol w:w="211"/>
        <w:gridCol w:w="691"/>
        <w:gridCol w:w="109"/>
        <w:gridCol w:w="109"/>
        <w:gridCol w:w="109"/>
        <w:gridCol w:w="109"/>
        <w:gridCol w:w="211"/>
        <w:gridCol w:w="691"/>
        <w:gridCol w:w="109"/>
        <w:gridCol w:w="109"/>
        <w:gridCol w:w="109"/>
        <w:gridCol w:w="109"/>
        <w:gridCol w:w="242"/>
        <w:gridCol w:w="588"/>
        <w:gridCol w:w="125"/>
        <w:gridCol w:w="125"/>
        <w:gridCol w:w="125"/>
        <w:gridCol w:w="125"/>
        <w:gridCol w:w="242"/>
        <w:gridCol w:w="588"/>
        <w:gridCol w:w="177"/>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Statutory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Statutory Capital and Surplus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Property &amp; Casualty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payment of dividends by our insurance subsidiaries is subject to restrictions set forth in the insurance laws and regulations of the State of Ohio. These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 or (2) the statutory-basis net income of the insurer as of the prior December 31. During the years ended December 31, 2023, 2022 and 2021, Root Insurance Company and Root Property &amp; Casualty did not pay any dividends.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 Additionally, following any dividend, an insurers policyholder surplus must be reasonable in relation to the insurer's outstanding liabilities and adequate for its financial needs.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imposes a minimum RBC requirement that is developed by the NAIC. The formulas in the model for determining the amount of RBC specify various weighting factors that are applied to financial balances or various levels of activity based on the perceived degree of risk. Regulatory compliance is determined by a ratio of total adjusted capital to authorized control level RBC, as defined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NAIC. Companies below specific trigger points or ratios are classified within certain levels, all of which require specified corrective action. Root Insurance Company and Root Property &amp; Casualty’s capital and surplus exceeded its authorized control level RBC of $12.8 million and $2.8 million for the year ended December 31, 2023, respectively, and $17.4 million and $4.1 million for the year ended December 31, 2022,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17.</w:t>
      </w:r>
      <w:r>
        <w:rPr>
          <w:rFonts w:ascii="Times New Roman;sans-serif" w:hAnsi="Times New Roman;sans-serif"/>
          <w:b/>
          <w:color w:val="000000"/>
          <w:sz w:val="20"/>
        </w:rPr>
        <w:t>GEOGRAPHICAL BREAKDOWN OF 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premiums written by state is as follows for the years ended December 31, 2023, 2022 and 2021: </w:t>
      </w:r>
    </w:p>
    <w:tbl>
      <w:tblPr>
        <w:tblW w:w="9317" w:type="dxa"/>
        <w:jc w:val="left"/>
        <w:tblInd w:w="0" w:type="dxa"/>
        <w:tblLayout w:type="fixed"/>
        <w:tblCellMar>
          <w:top w:w="28" w:type="dxa"/>
          <w:left w:w="28" w:type="dxa"/>
          <w:bottom w:w="28" w:type="dxa"/>
          <w:right w:w="28" w:type="dxa"/>
        </w:tblCellMar>
      </w:tblPr>
      <w:tblGrid>
        <w:gridCol w:w="506"/>
        <w:gridCol w:w="443"/>
        <w:gridCol w:w="460"/>
        <w:gridCol w:w="211"/>
        <w:gridCol w:w="616"/>
        <w:gridCol w:w="109"/>
        <w:gridCol w:w="109"/>
        <w:gridCol w:w="109"/>
        <w:gridCol w:w="109"/>
        <w:gridCol w:w="307"/>
        <w:gridCol w:w="309"/>
        <w:gridCol w:w="501"/>
        <w:gridCol w:w="109"/>
        <w:gridCol w:w="109"/>
        <w:gridCol w:w="109"/>
        <w:gridCol w:w="211"/>
        <w:gridCol w:w="616"/>
        <w:gridCol w:w="109"/>
        <w:gridCol w:w="109"/>
        <w:gridCol w:w="109"/>
        <w:gridCol w:w="109"/>
        <w:gridCol w:w="307"/>
        <w:gridCol w:w="309"/>
        <w:gridCol w:w="501"/>
        <w:gridCol w:w="109"/>
        <w:gridCol w:w="109"/>
        <w:gridCol w:w="109"/>
        <w:gridCol w:w="211"/>
        <w:gridCol w:w="616"/>
        <w:gridCol w:w="109"/>
        <w:gridCol w:w="109"/>
        <w:gridCol w:w="109"/>
        <w:gridCol w:w="109"/>
        <w:gridCol w:w="307"/>
        <w:gridCol w:w="309"/>
        <w:gridCol w:w="615"/>
      </w:tblGrid>
      <w:tr>
        <w:trPr/>
        <w:tc>
          <w:tcPr>
            <w:tcW w:w="5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15"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 states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in this Annual Report on Form 10-K,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December 31, 2023.</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w:t>
      </w:r>
    </w:p>
    <w:p>
      <w:pPr>
        <w:pStyle w:val="TextBody"/>
        <w:bidi w:val="0"/>
        <w:spacing w:lineRule="auto" w:line="288" w:before="0" w:after="180"/>
        <w:jc w:val="left"/>
        <w:rPr/>
      </w:pPr>
      <w:r>
        <w:rPr>
          <w:rFonts w:ascii="Times New Roman;sans-serif" w:hAnsi="Times New Roman;sans-serif"/>
          <w:b w:val="false"/>
          <w:color w:val="000000"/>
          <w:sz w:val="20"/>
        </w:rPr>
        <w:t xml:space="preserve">Our management, with the participation of our chief executive officer and chief financial officer, evaluated the effectiveness of our internal control over financial reporting based on the framework in </w:t>
      </w:r>
      <w:r>
        <w:rPr>
          <w:rFonts w:ascii="Times New Roman;sans-serif" w:hAnsi="Times New Roman;sans-serif"/>
          <w:b w:val="false"/>
          <w:i/>
          <w:color w:val="000000"/>
          <w:sz w:val="20"/>
        </w:rPr>
        <w:t xml:space="preserve">Internal Control - Integrated Framework (2013) </w:t>
      </w:r>
      <w:r>
        <w:rPr>
          <w:rFonts w:ascii="Times New Roman;sans-serif" w:hAnsi="Times New Roman;sans-serif"/>
          <w:b w:val="false"/>
          <w:color w:val="000000"/>
          <w:sz w:val="20"/>
        </w:rPr>
        <w:t>issued by the Committee of Sponsoring Organizations of the Treadway Commission (“COSO”). Based on this evaluation, our principal executive officer and principal financial officer concluded that, as of December 31, 2023, our internal control over financial reporting was effective.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Deloitte &amp; Touche LLP, an independent registered public accounting firm, has audited the consolidated financial statements contained in this Annual Report on Form 10-K, and has issued an attestation report on the effectiveness of our internal controls over financial reporting, which is included below.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pPr>
      <w:r>
        <w:rPr>
          <w:rFonts w:ascii="Times New Roman;sans-serif" w:hAnsi="Times New Roman;sans-serif"/>
          <w:b w:val="false"/>
          <w:color w:val="000000"/>
          <w:sz w:val="20"/>
        </w:rPr>
        <w:t xml:space="preserve">As previously disclosed in Item 9A of our Annual Report on Form 10-K for the year ended December 31, 2022 (the “preceding Form 10-K”), management concluded that there was a material weakness in internal controls over financial reporting related to </w:t>
      </w:r>
      <w:r>
        <w:rPr>
          <w:rFonts w:ascii="Times New Roman;sans-serif" w:hAnsi="Times New Roman;sans-serif"/>
          <w:b w:val="false"/>
          <w:color w:val="000000"/>
          <w:sz w:val="20"/>
          <w:shd w:fill="FFFFFF" w:val="clear"/>
        </w:rPr>
        <w:t>monitoring and the control environment, including the circumvention of control activities, that contributed to the fraud perpetrated by a former senior marketing employee, and aggregated to a material weakness. Specifically, the material weakness related to 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the following steps to remediate the material weakness described above: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Enhanced our policy to require more comprehensive hiring practices for individuals in senior leadership positions, which includes more robust background checks than we require for all other employees.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Improved the design of internal vendor management processes and controls, including hiring dedicated procurement resources to ensure contracts, including amendments, are appropriately reviewed, authorized in accordance with our delegation of authority policies, and approved.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Clarified the design of vendor payment controls to prescribe the criteria an approver must review, in addition to invoice requests, to adequately support payments to vendors.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Implemented more stringent monitoring controls to ensure compliance with contract reviews, approval authority limits and vendor payment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testing of both the design and operating effectiveness of the new controls was completed, and management concluded that the material weakness in internal controls over financial reporting related to this matter has been remediated.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as noted in the preceding paragraphs, there has been no change in our internal control over financial reporting that occurred during the most recent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Root,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internal control over financial reporting of Root, Inc. and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criteria established in Internal Control — Integrated Framework (2013) issued by COSO.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21, 2024, expressed an unqualified opinion on those financial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DELOITTE &amp; TOUCHE LLP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Columbus, Ohio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 of the Company’s directors or officers (as defined in Rule 16a-1(f) under the Securities Exchange Act of 1934) adopted, modified, or terminated a Rule 10b5-1 trading arrangement or a non-Rule 10b5-1 trading arrangement (as each term is defined in Item 408 of Regulation S-K) during the Company’s fiscal quarter ended December 31, 2023.</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February 19, 2024, Matt Bonakdarpour, 37, was appointed President and Chief Technology Officer of the Company. Mr. Bonakdarpour has been the Chief Technology Officer of the Company since February 23, 2022. </w:t>
      </w:r>
    </w:p>
    <w:p>
      <w:pPr>
        <w:pStyle w:val="TextBody"/>
        <w:bidi w:val="0"/>
        <w:spacing w:lineRule="auto" w:line="288" w:before="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Mr. Bonakdarpour will continue to receive compensation and benefits materially similar to those described in the Company’s Definitive Proxy Statement on Schedule 14A, as filed with the SEC on April 27, 2023 (the “2023 Proxy Statement”), except that Mr. Bonakdarpour’s target annual incentive opportunity was increased to 100% of annual base salary under the Company’s annual short-term incentive program, and in the Company’s Current Report on Form 8-K, as filed with the SEC on August 11, 2023. The biographical information and business experience of Mr. Bonakdarpour is also included in the 2023 Proxy Statement, and those descriptions are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in the definitive proxy statement for our Annual Meeting of Stockholders to be held on or about June 5, 2024. This proxy statement is referred to in this report as the 2024 Proxy Statement.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provide disclosure of delinquent Section 16(a) reports, if any, in our Proxy Statement in a section entitled “Delinquent Section 16(a) Reports,” and such disclosure, if any, is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Party Transactions, and Director Independence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in the 2024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236"/>
        <w:gridCol w:w="1141"/>
        <w:gridCol w:w="1145"/>
        <w:gridCol w:w="109"/>
        <w:gridCol w:w="109"/>
        <w:gridCol w:w="109"/>
        <w:gridCol w:w="172"/>
        <w:gridCol w:w="172"/>
        <w:gridCol w:w="173"/>
        <w:gridCol w:w="109"/>
        <w:gridCol w:w="109"/>
        <w:gridCol w:w="109"/>
        <w:gridCol w:w="296"/>
        <w:gridCol w:w="296"/>
        <w:gridCol w:w="297"/>
        <w:gridCol w:w="109"/>
        <w:gridCol w:w="109"/>
        <w:gridCol w:w="109"/>
        <w:gridCol w:w="210"/>
        <w:gridCol w:w="210"/>
        <w:gridCol w:w="211"/>
        <w:gridCol w:w="109"/>
        <w:gridCol w:w="109"/>
        <w:gridCol w:w="109"/>
        <w:gridCol w:w="475"/>
        <w:gridCol w:w="286"/>
        <w:gridCol w:w="266"/>
        <w:gridCol w:w="109"/>
        <w:gridCol w:w="109"/>
        <w:gridCol w:w="109"/>
        <w:gridCol w:w="276"/>
        <w:gridCol w:w="276"/>
        <w:gridCol w:w="39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Amendment to Amended and Restated Certificate of Incorporation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of Series A Preferred Stock, filed with the Delaware Secretary of State on October 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2descriptionofsecurities.htm">
              <w:r>
                <w:rPr>
                  <w:rStyle w:val="InternetLink"/>
                  <w:rFonts w:ascii="Times New Roman;sans-serif" w:hAnsi="Times New Roman;sans-serif"/>
                  <w:b w:val="false"/>
                  <w:color w:val="0000FF"/>
                  <w:sz w:val="18"/>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Common Stock Purchase Warrants, dated as of October 1,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Form of Common Stock Purchase Warrant (Tranche 1), dated January 26,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Form of Common Stock Purchase Warrant (Tranche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Root,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imes New Roman;sans-serif" w:hAnsi="Times New Roman;sans-serif"/>
                  <w:b w:val="false"/>
                  <w:color w:val="0000FF"/>
                  <w:sz w:val="18"/>
                  <w:u w:val="single"/>
                </w:rPr>
                <w:t>First Amendment to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8"/>
                  <w:u w:val="single"/>
                </w:rPr>
                <w:t>Root, Inc.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18"/>
                  <w:u w:val="single"/>
                </w:rPr>
                <w:t>First Amendment to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Root,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18"/>
                  <w:u w:val="single"/>
                </w:rPr>
                <w:t>First Amendment to 2015 Amended and Restated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9,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Offer Letter by and between Root, Inc. and Alexander Timm, dated January 4,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Amended and Restated Offer Letter by and between Root, Inc. and Daniel Rosenthal, dated February 24,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First Amendment to Amended and Restated Offer Letter by and between Root, Inc. and Daniel Rosenthal, dated February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First Amendment to Offer Letter by and between Root, Inc. and Alexander Timm, dated February 22,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97"/>
        <w:gridCol w:w="173"/>
        <w:gridCol w:w="175"/>
        <w:gridCol w:w="109"/>
        <w:gridCol w:w="109"/>
        <w:gridCol w:w="109"/>
        <w:gridCol w:w="1662"/>
        <w:gridCol w:w="1570"/>
        <w:gridCol w:w="1574"/>
        <w:gridCol w:w="109"/>
        <w:gridCol w:w="109"/>
        <w:gridCol w:w="109"/>
        <w:gridCol w:w="135"/>
        <w:gridCol w:w="120"/>
        <w:gridCol w:w="120"/>
        <w:gridCol w:w="109"/>
        <w:gridCol w:w="109"/>
        <w:gridCol w:w="109"/>
        <w:gridCol w:w="286"/>
        <w:gridCol w:w="217"/>
        <w:gridCol w:w="218"/>
        <w:gridCol w:w="109"/>
        <w:gridCol w:w="109"/>
        <w:gridCol w:w="109"/>
        <w:gridCol w:w="169"/>
        <w:gridCol w:w="169"/>
        <w:gridCol w:w="173"/>
        <w:gridCol w:w="109"/>
        <w:gridCol w:w="109"/>
        <w:gridCol w:w="109"/>
        <w:gridCol w:w="394"/>
        <w:gridCol w:w="255"/>
        <w:gridCol w:w="256"/>
        <w:gridCol w:w="109"/>
        <w:gridCol w:w="109"/>
        <w:gridCol w:w="109"/>
        <w:gridCol w:w="109"/>
        <w:gridCol w:w="109"/>
        <w:gridCol w:w="162"/>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Executive Employment Agreement with Robert Bateman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Executive Employment Agreement with Matt Bonakdarpour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Form of Executive Retention Award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Root Inc, Non-Employee Director Compensation Policy adopted February 17,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Form of Stock Option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Form of Notice of Stock Option Exercise and Stock Option Exercise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Form of Root, Inc. 2020 Equity Incentive Plan RSU Award Grant Notice and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Form of Root, Inc. 2020 Equity Incentive Plan Stock Option Grant Notice and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Form of Director and Officer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Form of RSU Agreement under the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Term Loan Agreement, dated as of January 26, 2022, by and among the Company, Caret Holdings, Inc., as borrower, the loan parties party thereto and Acquiom Agency Services LLC, as the administrative agent for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Commercial Agreement, dated as of October 1,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First Amendment to Carvana Commercial Agreement, dated as of May 13,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Root, Inc. Executive Compensation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u w:val="single"/>
                </w:rPr>
                <w:t>Form of Root, Inc. Cash Incentive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u w:val="single"/>
                </w:rPr>
                <w:t>Investment Agreement, dated as of August 11,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12,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u w:val="single"/>
                </w:rPr>
                <w:t>First Amendment to Investment Agreement, dated as of September 29, 2021, by and between Root, Inc. and Carvana Group,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u w:val="single"/>
                </w:rPr>
                <w:t>Fifth Amended and Restated Investors’ Rights Agreement by and among Root, Inc. and certain of its stockholders, dated November 25,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14"/>
        <w:gridCol w:w="188"/>
        <w:gridCol w:w="190"/>
        <w:gridCol w:w="109"/>
        <w:gridCol w:w="109"/>
        <w:gridCol w:w="109"/>
        <w:gridCol w:w="1807"/>
        <w:gridCol w:w="1469"/>
        <w:gridCol w:w="1473"/>
        <w:gridCol w:w="109"/>
        <w:gridCol w:w="109"/>
        <w:gridCol w:w="109"/>
        <w:gridCol w:w="125"/>
        <w:gridCol w:w="125"/>
        <w:gridCol w:w="127"/>
        <w:gridCol w:w="109"/>
        <w:gridCol w:w="109"/>
        <w:gridCol w:w="109"/>
        <w:gridCol w:w="212"/>
        <w:gridCol w:w="212"/>
        <w:gridCol w:w="213"/>
        <w:gridCol w:w="109"/>
        <w:gridCol w:w="109"/>
        <w:gridCol w:w="109"/>
        <w:gridCol w:w="169"/>
        <w:gridCol w:w="169"/>
        <w:gridCol w:w="173"/>
        <w:gridCol w:w="109"/>
        <w:gridCol w:w="109"/>
        <w:gridCol w:w="109"/>
        <w:gridCol w:w="385"/>
        <w:gridCol w:w="306"/>
        <w:gridCol w:w="308"/>
        <w:gridCol w:w="109"/>
        <w:gridCol w:w="109"/>
        <w:gridCol w:w="109"/>
        <w:gridCol w:w="109"/>
        <w:gridCol w:w="109"/>
        <w:gridCol w:w="160"/>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u w:val="single"/>
                </w:rPr>
                <w:t>Amendment to the Fifth Amended and Restated Investors’ Rights Agreement by and among Root, Inc. and certain of its stockholders, dated October 28,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u w:val="single"/>
                </w:rPr>
                <w:t>Board Observation Side Letter, dated January 26, 2022, by and between the Company and GCO II Aggregator 2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u w:val="single"/>
                </w:rPr>
                <w:t>Registration Rights Agreement, dated January 26, 2022, by and between the Company and the other parties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u w:val="single"/>
                </w:rPr>
                <w:t>Separation and Transition Agreement dated February 20, 2023, between Daniel Rosenthal and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u w:val="single"/>
                </w:rPr>
                <w:t>Executive Employment Agreement with Megan Binkley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18"/>
                  <w:u w:val="single"/>
                </w:rPr>
                <w:t>Retention Bonus Agreement between Megan Binkley and Root, Inc.</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18"/>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18"/>
                  <w:u w:val="single"/>
                </w:rPr>
                <w:t>Executive Retention Agreement between Matt Bonakdarpour and Root, Inc. dated August 9,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18"/>
                  <w:u w:val="single"/>
                </w:rPr>
                <w:t>Performance-Based RSU Award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18"/>
                  <w:u w:val="single"/>
                </w:rPr>
                <w:t>Root, Inc. Non-Employee Director Compensation Policy adopted October 23,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11listofsubsidiaries.htm">
              <w:r>
                <w:rPr>
                  <w:rStyle w:val="InternetLink"/>
                  <w:rFonts w:ascii="Times New Roman;sans-serif" w:hAnsi="Times New Roman;sans-serif"/>
                  <w:b w:val="false"/>
                  <w:color w:val="0000FF"/>
                  <w:sz w:val="18"/>
                  <w:u w:val="single"/>
                </w:rPr>
                <w:t>List of subsidiaries of Root,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31consentofindependentre.htm">
              <w:r>
                <w:rPr>
                  <w:rStyle w:val="InternetLink"/>
                  <w:rFonts w:ascii="Times New Roman;sans-serif" w:hAnsi="Times New Roman;sans-serif"/>
                  <w:b w:val="false"/>
                  <w:color w:val="0000FF"/>
                  <w:sz w:val="18"/>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of Attorney (incorporated by reference to the signature pages of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3exhibit311.htm">
              <w:r>
                <w:rPr>
                  <w:rStyle w:val="InternetLink"/>
                  <w:rFonts w:ascii="Times New Roman;sans-serif" w:hAnsi="Times New Roman;sans-serif"/>
                  <w:b w:val="false"/>
                  <w:color w:val="0000FF"/>
                  <w:sz w:val="18"/>
                  <w:u w:val="single"/>
                </w:rPr>
                <w:t xml:space="preserve">Certification of Principal Executive Officer Pursuant to Rules 13a-14(a) and 15d-14(a) under the Securities Exchange Act of 1934,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3exhibit312.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3exhibit321.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ootinccompensationrecover.htm">
              <w:r>
                <w:rPr>
                  <w:rStyle w:val="InternetLink"/>
                  <w:rFonts w:ascii="Times New Roman;sans-serif" w:hAnsi="Times New Roman;sans-serif"/>
                  <w:b w:val="false"/>
                  <w:color w:val="0000FF"/>
                  <w:sz w:val="18"/>
                  <w:u w:val="single"/>
                </w:rPr>
                <w:t>Root, Inc.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72"/>
        <w:gridCol w:w="240"/>
        <w:gridCol w:w="241"/>
        <w:gridCol w:w="109"/>
        <w:gridCol w:w="109"/>
        <w:gridCol w:w="109"/>
        <w:gridCol w:w="1941"/>
        <w:gridCol w:w="1931"/>
        <w:gridCol w:w="193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Schedules and exhibits to this Exhibit omitted pursuant to Regulation S-K Item 601(a)(5) and (b)(10). The Company agrees to furnish supplementally a copy of any omitted schedule or exhibit to the SEC upon request.</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Indicates management contract or compensatory plan. </w:t>
      </w:r>
    </w:p>
    <w:p>
      <w:pPr>
        <w:pStyle w:val="TextBody"/>
        <w:bidi w:val="0"/>
        <w:spacing w:lineRule="auto" w:line="288" w:before="0" w:after="0"/>
        <w:ind w:left="0" w:right="0" w:hanging="180"/>
        <w:jc w:val="left"/>
        <w:rPr/>
      </w:pPr>
      <w:r>
        <w:rPr>
          <w:color w:val="000000"/>
        </w:rPr>
        <w:t xml:space="preserve">† </w:t>
      </w:r>
      <w:r>
        <w:rPr>
          <w:rFonts w:ascii="Times New Roman;sans-serif" w:hAnsi="Times New Roman;sans-serif"/>
          <w:b w:val="false"/>
          <w:color w:val="000000"/>
          <w:sz w:val="16"/>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before="0" w:after="180"/>
        <w:jc w:val="left"/>
        <w:rPr/>
      </w:pPr>
      <w:r>
        <w:rPr/>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ans-serif" w:hAnsi="Times New Roman;sans-serif"/>
          <w:b/>
          <w:color w:val="000000"/>
          <w:sz w:val="20"/>
        </w:rPr>
        <w: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bl>
      <w:tblPr>
        <w:tblW w:w="3303" w:type="dxa"/>
        <w:jc w:val="left"/>
        <w:tblInd w:w="0" w:type="dxa"/>
        <w:tblLayout w:type="fixed"/>
        <w:tblCellMar>
          <w:top w:w="28" w:type="dxa"/>
          <w:left w:w="28" w:type="dxa"/>
          <w:bottom w:w="28" w:type="dxa"/>
          <w:right w:w="28" w:type="dxa"/>
        </w:tblCellMar>
      </w:tblPr>
      <w:tblGrid>
        <w:gridCol w:w="202"/>
        <w:gridCol w:w="178"/>
        <w:gridCol w:w="178"/>
        <w:gridCol w:w="796"/>
        <w:gridCol w:w="796"/>
        <w:gridCol w:w="1153"/>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8"/>
              </w:rPr>
            </w:pPr>
            <w:r>
              <w:rPr>
                <w:rFonts w:ascii="Times New Roman;sans-serif" w:hAnsi="Times New Roman;sans-serif"/>
                <w:b/>
                <w:color w:val="000000"/>
                <w:sz w:val="18"/>
              </w:rPr>
              <w:t>ROOT, INC.</w:t>
            </w:r>
          </w:p>
        </w:tc>
      </w:tr>
      <w:tr>
        <w:trPr/>
        <w:tc>
          <w:tcPr>
            <w:tcW w:w="55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/s/Alexander Timm</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Alexander Timm</w:t>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and Director</w:t>
            </w:r>
          </w:p>
        </w:tc>
      </w:tr>
    </w:tbl>
    <w:p>
      <w:pPr>
        <w:pStyle w:val="TextBody"/>
        <w:bidi w:val="0"/>
        <w:spacing w:before="0" w:after="180"/>
        <w:jc w:val="left"/>
        <w:rPr/>
      </w:pPr>
      <w:r>
        <w:rPr/>
      </w:r>
    </w:p>
    <w:p>
      <w:pPr>
        <w:pStyle w:val="TextBody"/>
        <w:bidi w:val="0"/>
        <w:spacing w:before="0" w:after="180"/>
        <w:jc w:val="center"/>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Alexander Timm and Megan Binkley,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7821" w:type="dxa"/>
        <w:jc w:val="left"/>
        <w:tblInd w:w="0" w:type="dxa"/>
        <w:tblLayout w:type="fixed"/>
        <w:tblCellMar>
          <w:top w:w="28" w:type="dxa"/>
          <w:left w:w="28" w:type="dxa"/>
          <w:bottom w:w="28" w:type="dxa"/>
          <w:right w:w="28" w:type="dxa"/>
        </w:tblCellMar>
      </w:tblPr>
      <w:tblGrid>
        <w:gridCol w:w="559"/>
        <w:gridCol w:w="491"/>
        <w:gridCol w:w="495"/>
        <w:gridCol w:w="109"/>
        <w:gridCol w:w="1507"/>
        <w:gridCol w:w="1507"/>
        <w:gridCol w:w="1530"/>
        <w:gridCol w:w="109"/>
        <w:gridCol w:w="441"/>
        <w:gridCol w:w="441"/>
        <w:gridCol w:w="63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Alexander Timm</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Director</w:t>
            </w:r>
          </w:p>
          <w:p>
            <w:pPr>
              <w:pStyle w:val="TableContents"/>
              <w:bidi w:val="0"/>
              <w:spacing w:lineRule="auto" w:line="276"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Executive Officer</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Alexander Timm</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Megan Binkley</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p>
            <w:pPr>
              <w:pStyle w:val="TableContents"/>
              <w:bidi w:val="0"/>
              <w:spacing w:lineRule="auto" w:line="276"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Principal Financial Officer and Principal Accounting Officer</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Megan Binkley</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Doug Ulman</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Doug Ulman</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Jerri DeVard</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Jerri DeVard</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Larry Hilsheimer</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Larry Hilsheimer</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Beth Birnbaum</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Beth Birnbaum</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Nancy Kramer</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Nancy Kramer</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Julie Szudarek</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Julie Szudarek</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Donna Dorsey</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21, 2024 </w:t>
            </w:r>
          </w:p>
        </w:tc>
      </w:tr>
      <w:tr>
        <w:trPr/>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Donna Dorsey</w:t>
            </w:r>
          </w:p>
        </w:tc>
        <w:tc>
          <w:tcPr>
            <w:tcW w:w="109" w:type="dxa"/>
            <w:tcBorders/>
            <w:vAlign w:val="center"/>
          </w:tcPr>
          <w:p>
            <w:pPr>
              <w:pStyle w:val="TableContents"/>
              <w:bidi w:val="0"/>
              <w:spacing w:before="0" w:after="283"/>
              <w:jc w:val="left"/>
              <w:rPr>
                <w:sz w:val="4"/>
                <w:szCs w:val="4"/>
              </w:rPr>
            </w:pPr>
            <w:r>
              <w:rPr>
                <w:sz w:val="4"/>
                <w:szCs w:val="4"/>
              </w:rPr>
            </w:r>
          </w:p>
        </w:tc>
        <w:tc>
          <w:tcPr>
            <w:tcW w:w="454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p>
    <w:p>
      <w:pPr>
        <w:pStyle w:val="TextBody"/>
        <w:bidi w:val="0"/>
        <w:spacing w:lineRule="auto" w:line="333" w:before="200" w:after="283"/>
        <w:jc w:val="center"/>
        <w:rPr>
          <w:rFonts w:ascii="Times New Roman;sans-serif" w:hAnsi="Times New Roman;sans-serif"/>
          <w:b/>
          <w:color w:val="000000"/>
          <w:sz w:val="22"/>
        </w:rPr>
      </w:pPr>
      <w:r>
        <w:rPr>
          <w:rFonts w:ascii="Times New Roman;sans-serif" w:hAnsi="Times New Roman;sans-serif"/>
          <w:b/>
          <w:color w:val="000000"/>
          <w:sz w:val="22"/>
        </w:rPr>
        <w:t>DESCRIPTION OF THE REGISTRANT’S SECURITIES</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REGISTERED PURSUANT TO SECTION 12 OF THE SECURITIES</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EXCHANGE ACT OF 1934</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Root, Inc. had one class of securities registered under Section 12 of the Securities Exchange Act of 1934, as amended (the “Exchange Act”): our Class A common stock, $0.0001 par value per share (“Class A Common Stock”). References herein to the terms “we,” “our” and “us” refer to Root, Inc. and its subsidiaries.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description of our capital stock is a summary and does not purport to be complete. It is subject to, and qualified in its entirety by reference to, the applicable provisions of our amended and restated certificate of incorporation, as amended, our amended and restated bylaws and our investors’ rights agreement entered into in November 2019, which are filed as exhibits to our Annual Report on Form 10-K, of which this Exhibit 4.2 is a part, and are incorporated by reference herein. We encourage you to read our amended and restated certificate of incorporation, our certificate of amendment to our amended and restated certificate of incorporation, our amended and restated bylaws, our investors’ rights agreement and the applicable provisions of the Delaware General Corporation Law (the “DGCL”), for more information.</w: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 xml:space="preserve">General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amended and restated certificate of incorporation provides for two classes of common stock: Class A Common Stock and Class B common stock, par value $0.0001 per share (“Class B Common Stock”). In addition, our amended and restated certificate of incorporation authorizes shares of undesignated preferred stock, the rights, preferences and privileges of which may be designated from time to time by our board of directors.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authorized capital stock consists of 1,369,000,000 shares, all with a par value of $0.0001 per share, of which 1,000,000,000 shares are designated as Class A Common Stock, 269,000,000 shares are designated as Class B Common Stock and 100,000,000 shares are designated as preferred stock.</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11, 2021, we entered into an Investment Agreement (the “Investment Agreement”) with Carvana Group, LLC (“Carvana”) relating to the issuance of 14,053,096 shares of Series A Convertible Preferred Stock, par value $0.0001 per share (the “Series A Preferred Stock”). The Series A Preferred Stock had an aggregate initial liquidation preference of approximately $126 million (the “Initial Liquidation Preference”) and was convertible into shares of Class A Common Stock at an initial conversion price of $9.00 per share of Class A Common Stock.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August 12, 2022, we filed a certificate of amendment to our amended and restated certificate of incorporation in order to effect a 1-for-18 reverse stock split of our Class A Common Stock and Class B Common Stock (the “Reverse Stock Split”). As a result of the Reverse Stock Split, every 18 shares of pre-reverse split Class A Common Stock and Class B Common Stock were combined and reclassified into one share of Class A Common Stock and Class B Common Stock, respectively. The Reverse Stock Split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had no effect on the number of authorized shares of Class A Common Stock, Class B Common Stock or preferred stock, or on the stated par value of our Class A Common Stock, Class B Common Stock or preferred stock.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 a result of the Reverse Stock Split, the conversion price for the Series A Preferred Stock was adjusted to $162.00 per share of Class A Common Stock (the “Conversion Price”).</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board of directors is authorized, without stockholder approval except as required by the listing standards of the Nasdaq Stock Market, to issue additional shares of our capital stock. </w: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 xml:space="preserve">Class A Common Stock and Class B Common Stock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 xml:space="preserve">Voting Rights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Holders of Class A Common Stock are entitled to one vote per share on all matters to be voted upon by the stockholders. Holders of Class B Common Stock are entitled to ten votes per share on all matters to be voted upon by the stockholders. The holders of our Class A Common Stock and Class B Common Stock generally vote together as a single class on all matters submitted to a vote of our stockholders (including the election of directors), unless otherwise required by Delaware law or our amended and restated certificate of incorporation.</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Investment Agreement, Carvana has agreed to vote its shares of preferred stock (i) for our nominees for director and (ii) in the same proportion as unaffiliated stockholders with respect to all other proposals. “Unaffiliated stockholders” shall not include any of our current directors or officers or any other beneficial owner of more than 5.0% (determined on a fully diluted basis) of our outstanding Class A Common Stock and Class B Common Stock (other than investors that are eligible to file a Schedule 13G with the Securities and Exchange Commission (the “SEC”) pursuant to Rule 13d-1(b) under the Exchange Act) and any affiliate of any of the foregoing persons.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amended and restated certificate of incorporation does not provide for cumulative voting for the election of directors.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Dividend Rights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would be permitted. State insurance regulatory authorities that have jurisdiction over the payment of dividends by our insurance subsidiaries may in the future adopt statutory provisions more restrictive than those currently in effect.</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Right to Receive Liquidation Distributions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such affected class, voting separately as a class.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Subdivisions and Combinations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we subdivide or combine in any manner outstanding shares of Class A Common Stock or Class B Common Stock, the outstanding shares of the other classes will be subdivided or combined in the same manner.</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Other Matters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Class A Common Stock and Class B Common Stock are not entitled to preemptive rights, and are not subject to conversion, redemption or sinking fund provisions, except for the conversion provisions with respect to the Class B Common Stock described below.</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Conversion</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Each outstanding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Any holder’s shares of Class B Common Stock will convert automatically into Class A Common Stock, on a one-to-one basis, upon the following: (1) sale or transfer of such share of Class B Common Stock; (2) the death of the holder of Class B Common Stock; and (3) on the final conversion date, defined as the earliest of (a) the first trading day falling nine months after the date on which the outstanding shares of Class B Common Stock represent less than 10% of the aggregate number of shares then outstanding of Class A Common Stock and Class B Common Stock; (b) the tenth anniversary of effectiveness under the DGCL of the amended and restated certificate of incorporation immediately prior to our initial public offering, and (c) the date specified by the holders of a majority of then-outstanding shares of Class B Common Stock, voting together as a single class.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Once transferred and converted into Class A Common Stock, the Class B Common Stock may not be reissued.</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 xml:space="preserve">Series A Preferred Stock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Maturity</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Series A Preferred Stock is perpetual with no fixed maturity date.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Ranking</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Series A Preferred Stock ranks superior to all of our junior common stock, including both the Class A Common Stock and Class B Common Stock.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 xml:space="preserve">Voting Rights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Holders of Series A Preferred Stock are entitled to one vote per share, on an as-converted basis, on all matters to be voted upon by the holders of Class A Common Stock and Class B Common Stock. Holders of Series A Preferred Stock generally vote together with the holders of the Class A Common Stock and Class B Common Stock as a single class on all matters submitted to a vote of our stockholders (including the election of directors), unless otherwise required by Delaware law or our amended and restated certificate of incorporation.</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the Investment Agreement, Carvana has agreed to vote its shares of Series A Preferred Stock (i) for our nominees for director and (ii) in the same proportion as unaffiliated stockholders with respect to all other proposals. “Unaffiliated stockholders” shall not include any of our current directors or officers or any other beneficial owner of more than 5.0% (determined on a fully diluted basis) of our outstanding Class A Common Stock and Class B Common Stock (other than investors that are eligible to file a Schedule 13G with the SEC pursuant to Rule 13d-1(b) under the Exchange Act) and any affiliate of any of the foregoing persons.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amended and restated certificate of incorporation does not provide for cumulative voting for the election of directors. </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Dividend Rights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Holders of Series A Preferred Stock are not entitled to any dividends, except when, as and if declared by the board of directors at its own discretion out of funds legally available for that purpose following the fifth anniversary of the earlier of the date of completion of the development of an integrated automobile insurance solution for Carvana’s online car buying platform or 18 months following October 1, 2021, following which holders of Series A Preferred Stock are entitled to dividends at a rate of 5.0% per annum.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Applicable insurance laws restrict the ability of our insurance subsidiaries to declare stockholder dividends and require insurance companies to maintain specified levels of statutory capital and surplus.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insurance subsidiaries may in the future adopt statutory provisions more restrictive than those currently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Right to Receive Liquidation Distributions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Upon our dissolution, liquidation, or winding-up, the assets legally available for distribution to our stockholders are distributable ratably among the holders of our Series A Preferred Stock, subject to prior satisfaction of all outstanding debt and liabilities, unless a different treatment is approved by the affirmative vote of the holders of a majority of the Series A Preferred Stock, voting separately as a class.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Other Matters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Series A Preferred Stock are not entitled to preemptive rights, and are not subject to conversion, redemption or sinking fund provisions, except for the conversion provisions described below.</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Conversion</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Each outstanding share of Series A Preferred Stock is convertible at any time at the option of the holder into a number of shares of Class A Common Stock equal to the Initial Liquidation Preference plus the amount of any accrued but unpaid dividends thereon as of such date (the “Liquidation Preference) divided by the Conversion Price. In the event that dividends or distributions payable in shares of the Class A Common Stock or Class B Common Stock are paid on the Class A Common Stock or Class B Common Stock, the new conversion price will be the Conversion Price, multiplied by the quotient, rounded to the nearest one-thousandth, of (i) the number of shares of the Class A Common Stock and Class B Common Stock, taken together, outstanding immediately prior to the effectiveness of such an event divided by (ii) the number of shares of the Class A Common Stock and Class B Common Stock, taken together, outstanding immediately following, and solely as a result of, such an event.</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Series A Preferred Stock is mandatorily convertible or redeemable in connection with any change of control of Root, Inc. </w: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Registration Rights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 are party to an investors’ rights agreement that provides holders of a substantial number of shares with rights, subject to certain conditions, to require us to file registration statements covering the sale of their shares or to include their shares in registration statements that we may file for ourselves or other stockholders. The registration of shares of our common stock by the exercise of such registration rights would enable the holders of such shares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pursuant to such registration rights. The registration rights under our investors’ rights agreement will terminate five years after the closing of our initial public offering, or with respect to any particular stockholder, such time after the closing of our initial public offering that such stockholder can sell all of its shares entitled to registration rights under Rule 144 of the Securities Act during any 90-day period.</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party to a registration rights agreement with Carvana that provides Carvana with rights, subject to certain conditions, to require us to file registration statements covering the sale of their shares or to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party to a registration rights agreement with certain subsidiaries of BlackRock Financial Management, Inc. (collectively, “BlackRock”) that provides BlackRock with rights, subject to certain conditions, to require us to include its shares in registration statements that we may file for ourselves or other stockholders. The registration of shares of our common stock by the exercise of such registration rights would enable the holder of such shares to sell these shares without restriction under the Securities Act when the applicable registration statement is declared effective. We will pay the registration expenses, other than underwriting discounts and commissions, of the shares registered pursuant to such registration rights. </w: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Anti-Takeover Effects of Delaware Law and Our Certificate of Incorporation and Bylaws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Stockholder Meetings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bylaws provide that a special meeting of stockholders may be called only by our chairman of the board, chief executive officer or president, or by a resolution adopted by a majority of our board of directors.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Requirements for Advance Notification of Stockholder Nominations and Proposals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Elimination of Stockholder Action by Written Consent</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certificate of incorporation and amended and restated bylaws eliminate the right of stockholders to act by written consent without a meeting.</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Staggered Board</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board of directors is divided into three classes. The directors in each class serves for a three-year term, one class being elected each year by our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Removal of Directors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Stockholders Not Entitled to Cumulative Voting</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amended and restated certificate of incorporation does not permit stockholders to cumulate their votes in the election of directors. Accordingly, the holders of a majority of the outstanding shares of our Class A Common Stock and Class B Common Stock entitled to vote in any election of directors can elect all of the directors standing for election, if they choose, other than any directors that holders of our Series A Preferred Stock may be entitled to elect.</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Delaware Anti-Takeover Statute</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Choice of Forum</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subject matter jurisdiction, the federal district court for the District of Delaware) is the sole and exclusive forum for the following claims or causes of action under Delaware statutory or common law: (i) any derivative claim or cause of action brought on our behalf; (ii) any claim or cause of action asserting a claim of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 This choice of forum provision would not apply to suits brought to enforce a duty or liability created by the Exchange Act or any other claim for which the federal courts have exclusive jurisdiction, or the Securities Act. Our amended and restated certificate of incorporation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lineRule="auto" w:line="333" w:before="200" w:after="283"/>
        <w:jc w:val="left"/>
        <w:rPr>
          <w:rFonts w:ascii="Times New Roman;sans-serif" w:hAnsi="Times New Roman;sans-serif"/>
          <w:b/>
          <w:i/>
          <w:color w:val="000000"/>
          <w:sz w:val="22"/>
        </w:rPr>
      </w:pPr>
      <w:r>
        <w:rPr>
          <w:rFonts w:ascii="Times New Roman;sans-serif" w:hAnsi="Times New Roman;sans-serif"/>
          <w:b/>
          <w:i/>
          <w:color w:val="000000"/>
          <w:sz w:val="22"/>
        </w:rPr>
        <w:t>Amendment of Charter Provisions</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Any person or entity purchasing or otherwise acquiring any interest in our securities shall be deemed to have notice of and consented to this provision.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 xml:space="preserve">Exchange Listing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Class A Common Stock is listed on the Nasdaq Stock Market under the symbol “ROOT.”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rFonts w:ascii="Times New Roman;sans-serif" w:hAnsi="Times New Roman;sans-serif"/>
          <w:b/>
          <w:color w:val="000000"/>
          <w:sz w:val="22"/>
        </w:rPr>
      </w:pPr>
      <w:r>
        <w:rPr>
          <w:rFonts w:ascii="Times New Roman;sans-serif" w:hAnsi="Times New Roman;sans-serif"/>
          <w:b/>
          <w:color w:val="000000"/>
          <w:sz w:val="22"/>
        </w:rPr>
        <w:t xml:space="preserve">Transfer Agent and Registrar </w:t>
      </w:r>
    </w:p>
    <w:p>
      <w:pPr>
        <w:pStyle w:val="TextBody"/>
        <w:bidi w:val="0"/>
        <w:spacing w:lineRule="auto" w:line="333" w:before="2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transfer agent and registrar for our Class A Common Stock, Class B Common Stock and preferred stock is Equiniti Trust Company, LLC. The transfer agent’s address is 48 Wall Street, Floor 23, New York, New York 10005 and the telephone number is (800) 937-5449.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Subsidiaries of Root, Inc.</w:t>
      </w:r>
    </w:p>
    <w:p>
      <w:pPr>
        <w:pStyle w:val="TextBody"/>
        <w:bidi w:val="0"/>
        <w:spacing w:before="0" w:after="0"/>
        <w:jc w:val="left"/>
        <w:rPr/>
      </w:pPr>
      <w:r>
        <w:rPr/>
      </w:r>
    </w:p>
    <w:tbl>
      <w:tblPr>
        <w:tblW w:w="5324" w:type="dxa"/>
        <w:jc w:val="left"/>
        <w:tblInd w:w="0" w:type="dxa"/>
        <w:tblLayout w:type="fixed"/>
        <w:tblCellMar>
          <w:top w:w="28" w:type="dxa"/>
          <w:left w:w="28" w:type="dxa"/>
          <w:bottom w:w="28" w:type="dxa"/>
          <w:right w:w="28" w:type="dxa"/>
        </w:tblCellMar>
      </w:tblPr>
      <w:tblGrid>
        <w:gridCol w:w="1404"/>
        <w:gridCol w:w="1234"/>
        <w:gridCol w:w="1246"/>
        <w:gridCol w:w="422"/>
        <w:gridCol w:w="422"/>
        <w:gridCol w:w="596"/>
      </w:tblGrid>
      <w:tr>
        <w:trPr/>
        <w:tc>
          <w:tcPr>
            <w:tcW w:w="140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Caret Holdings, Inc.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Enterprise,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Agency, LLC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Insurance Company</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Lone Star Insurance Agency, Inc.</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Property &amp; Casualty Insurance Company</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38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Reinsurance Company, Ltd.</w:t>
            </w:r>
          </w:p>
        </w:tc>
        <w:tc>
          <w:tcPr>
            <w:tcW w:w="14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Islands</w:t>
            </w:r>
          </w:p>
        </w:tc>
      </w:tr>
      <w:tr>
        <w:trPr/>
        <w:tc>
          <w:tcPr>
            <w:tcW w:w="38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Root Scout, LLC</w:t>
            </w:r>
          </w:p>
        </w:tc>
        <w:tc>
          <w:tcPr>
            <w:tcW w:w="144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Verdana;sans-serif" w:hAnsi="Verdana;sans-serif"/>
          <w:b/>
          <w:color w:val="000000"/>
          <w:sz w:val="18"/>
        </w:rPr>
      </w:pPr>
      <w:r>
        <w:rPr>
          <w:rFonts w:ascii="Verdana;sans-serif" w:hAnsi="Verdana;sans-serif"/>
          <w:b/>
          <w:color w:val="000000"/>
          <w:sz w:val="18"/>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consent to the incorporation by reference in Registration Statements No. 333-249777, No. 333-256076, No. 333-264267 and No. 333-272270 on Form S-8 of our reports dated February 21, 2024 relating to the financial statements of Root, Inc. and the effectiveness of Root Inc.’s internal control over financial reporting, appearing in this Annual Report on Form 10-K for the year ended December 31, 2023. </w:t>
      </w:r>
    </w:p>
    <w:p>
      <w:pPr>
        <w:pStyle w:val="TextBody"/>
        <w:bidi w:val="0"/>
        <w:spacing w:before="0" w:after="0"/>
        <w:jc w:val="left"/>
        <w:rPr/>
      </w:pPr>
      <w:r>
        <w:rPr/>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DELOITTE &amp; TOUCHE LLP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Columbus, Ohio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February 21,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1"/>
        <w:gridCol w:w="1807"/>
        <w:gridCol w:w="2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both"/>
              <w:rPr/>
            </w:pPr>
            <w:r>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53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910"/>
        <w:gridCol w:w="910"/>
        <w:gridCol w:w="129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208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1"/>
        <w:gridCol w:w="1807"/>
        <w:gridCol w:w="2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Annual Report on Form 10-K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871" w:type="dxa"/>
        <w:jc w:val="left"/>
        <w:tblInd w:w="0" w:type="dxa"/>
        <w:tblLayout w:type="fixed"/>
        <w:tblCellMar>
          <w:top w:w="28" w:type="dxa"/>
          <w:left w:w="28" w:type="dxa"/>
          <w:bottom w:w="28" w:type="dxa"/>
          <w:right w:w="28" w:type="dxa"/>
        </w:tblCellMar>
      </w:tblPr>
      <w:tblGrid>
        <w:gridCol w:w="770"/>
        <w:gridCol w:w="678"/>
        <w:gridCol w:w="682"/>
        <w:gridCol w:w="109"/>
        <w:gridCol w:w="109"/>
        <w:gridCol w:w="109"/>
        <w:gridCol w:w="705"/>
        <w:gridCol w:w="705"/>
        <w:gridCol w:w="1004"/>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21,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213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Annual Report on Form 10-K for the fiscal year ended December 31, 2023, to which this Certification is attached as Exhibit 32.1 (the “Annual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Annual Report fairly presents, in all material respects, the financial condition and results of operations of the Company.</w:t>
            </w:r>
          </w:p>
        </w:tc>
      </w:tr>
    </w:tbl>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21, 2024 </w:t>
      </w:r>
    </w:p>
    <w:p>
      <w:pPr>
        <w:pStyle w:val="TextBody"/>
        <w:bidi w:val="0"/>
        <w:spacing w:lineRule="auto" w:line="276" w:before="160" w:after="283"/>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undersigned have set their hands hereto as of the 21st day of February, 2024.</w:t>
      </w:r>
    </w:p>
    <w:tbl>
      <w:tblPr>
        <w:tblW w:w="6590" w:type="dxa"/>
        <w:jc w:val="left"/>
        <w:tblInd w:w="0" w:type="dxa"/>
        <w:tblLayout w:type="fixed"/>
        <w:tblCellMar>
          <w:top w:w="28" w:type="dxa"/>
          <w:left w:w="28" w:type="dxa"/>
          <w:bottom w:w="28" w:type="dxa"/>
          <w:right w:w="28" w:type="dxa"/>
        </w:tblCellMar>
      </w:tblPr>
      <w:tblGrid>
        <w:gridCol w:w="1116"/>
        <w:gridCol w:w="981"/>
        <w:gridCol w:w="992"/>
        <w:gridCol w:w="109"/>
        <w:gridCol w:w="109"/>
        <w:gridCol w:w="109"/>
        <w:gridCol w:w="109"/>
        <w:gridCol w:w="109"/>
        <w:gridCol w:w="109"/>
        <w:gridCol w:w="109"/>
        <w:gridCol w:w="109"/>
        <w:gridCol w:w="109"/>
        <w:gridCol w:w="736"/>
        <w:gridCol w:w="736"/>
        <w:gridCol w:w="1048"/>
      </w:tblGrid>
      <w:tr>
        <w:trPr/>
        <w:tc>
          <w:tcPr>
            <w:tcW w:w="111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30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76"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Root, Inc.. under the Securities Act of 1933, as amended, or the Securities Exchange Act of 1934, as amended (whether made before or after the date of the Form 10-K),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EXHIBIT 97.1</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Root, Inc. Compensation Recovery Policy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Effective October 23, 2023</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Purpose.</w:t>
      </w:r>
      <w:r>
        <w:rPr>
          <w:color w:val="000000"/>
        </w:rPr>
        <w:t xml:space="preserve"> </w:t>
      </w:r>
      <w:r>
        <w:rPr>
          <w:rFonts w:ascii="Times New Roman;sans-serif" w:hAnsi="Times New Roman;sans-serif"/>
          <w:b w:val="false"/>
          <w:color w:val="000000"/>
          <w:sz w:val="20"/>
        </w:rPr>
        <w:t>The purpose of this Compensation Recovery Policy (this “Policy”) is to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describe the circumstances under which Root, Inc. (the “Company”) is required to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recover certain compensation paid to certain employees. Any references in compensation plans, agreements, equity awards, or other policies to the Company’s “recoupment,” “clawback” or similarly named policy shall mean this Policy. Each Covered Officer shall be required to sign and return to the Company the Acknowledgement and Acceptance Form attached hereto as Exhibit A pursuant to which such Covered Officer will acknowledge that he or she is bound by the terms of this Policy; provided, however, that this Policy shall apply to, and be enforceable against, any Covered Officer and his or her successors (as specified in Section 6 of this Policy) regardless of whether or not such Covered Officer properly signs and returns to the Company such Acknowledgement and Acceptance Form and regardless of whether or not such Covered Officer is aware of his or her status as such.</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Requirement to Recover Compensation.</w:t>
      </w:r>
      <w:r>
        <w:rPr>
          <w:color w:val="000000"/>
        </w:rPr>
        <w:t xml:space="preserve"> </w:t>
      </w:r>
      <w:r>
        <w:rPr>
          <w:rFonts w:ascii="Times New Roman;sans-serif" w:hAnsi="Times New Roman;sans-serif"/>
          <w:b w:val="false"/>
          <w:color w:val="000000"/>
          <w:sz w:val="20"/>
        </w:rPr>
        <w:t>In the event that the Company is required to prepare an Accounting Restatement, the Company shall reasonably promptly determine the amount of Erroneously Awarded Compensation Received during the Recovery Period by each Covered Officer and shall reasonably promptly thereafter provide each Covered Officer with written notice containing the amount of Erroneously Awarded Compensation Received. The Company is then required to recover the Erroneously Awarded Compensation Received, subject to the terms of the policy.</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Definitions.</w:t>
      </w:r>
      <w:r>
        <w:rPr>
          <w:color w:val="000000"/>
        </w:rPr>
        <w:t xml:space="preserve"> </w:t>
      </w:r>
      <w:r>
        <w:rPr>
          <w:rFonts w:ascii="Times New Roman;sans-serif" w:hAnsi="Times New Roman;sans-serif"/>
          <w:b w:val="false"/>
          <w:color w:val="000000"/>
          <w:sz w:val="20"/>
        </w:rPr>
        <w:t>For purposes of this Policy, the following terms, when capitalized, shall have the meanings set forth below:</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a.</w:t>
      </w:r>
      <w:r>
        <w:rPr>
          <w:color w:val="000000"/>
        </w:rPr>
        <w:t>“</w:t>
      </w:r>
      <w:r>
        <w:rPr>
          <w:rFonts w:ascii="Times New Roman;sans-serif" w:hAnsi="Times New Roman;sans-serif"/>
          <w:b w:val="false"/>
          <w:i/>
          <w:color w:val="000000"/>
          <w:sz w:val="20"/>
        </w:rPr>
        <w:t>Accounting Restatement</w:t>
      </w:r>
      <w:r>
        <w:rPr>
          <w:color w:val="000000"/>
        </w:rPr>
        <w:t xml:space="preserve">” </w:t>
      </w:r>
      <w:r>
        <w:rPr>
          <w:rFonts w:ascii="Times New Roman;sans-serif" w:hAnsi="Times New Roman;sans-serif"/>
          <w:b w:val="false"/>
          <w:color w:val="000000"/>
          <w:sz w:val="20"/>
        </w:rPr>
        <w:t>shall mean any accounting restatement required due to the Company’s material noncompliance with any financial reporting requirement under the securities law,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b.</w:t>
      </w:r>
      <w:r>
        <w:rPr>
          <w:color w:val="000000"/>
        </w:rPr>
        <w:t>“</w:t>
      </w:r>
      <w:r>
        <w:rPr>
          <w:rFonts w:ascii="Times New Roman;sans-serif" w:hAnsi="Times New Roman;sans-serif"/>
          <w:b w:val="false"/>
          <w:i/>
          <w:color w:val="000000"/>
          <w:sz w:val="20"/>
        </w:rPr>
        <w:t>Committee</w:t>
      </w:r>
      <w:r>
        <w:rPr>
          <w:color w:val="000000"/>
        </w:rPr>
        <w:t xml:space="preserve">” </w:t>
      </w:r>
      <w:r>
        <w:rPr>
          <w:rFonts w:ascii="Times New Roman;sans-serif" w:hAnsi="Times New Roman;sans-serif"/>
          <w:b w:val="false"/>
          <w:color w:val="000000"/>
          <w:sz w:val="20"/>
        </w:rPr>
        <w:t>shall mean the Company’s board of directors or any committee to which the board may delegate its authority in their sole discretion in compliance with the applicable listing standards of the national securities exchange or association on which the Company’s securities are listed.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c.</w:t>
      </w:r>
      <w:r>
        <w:rPr>
          <w:color w:val="000000"/>
        </w:rPr>
        <w:t>“</w:t>
      </w:r>
      <w:r>
        <w:rPr>
          <w:rFonts w:ascii="Times New Roman;sans-serif" w:hAnsi="Times New Roman;sans-serif"/>
          <w:b w:val="false"/>
          <w:i/>
          <w:color w:val="000000"/>
          <w:sz w:val="20"/>
        </w:rPr>
        <w:t>Covered Officer</w:t>
      </w:r>
      <w:r>
        <w:rPr>
          <w:color w:val="000000"/>
        </w:rPr>
        <w:t xml:space="preserve">” </w:t>
      </w:r>
      <w:r>
        <w:rPr>
          <w:rFonts w:ascii="Times New Roman;sans-serif" w:hAnsi="Times New Roman;sans-serif"/>
          <w:b w:val="false"/>
          <w:color w:val="000000"/>
          <w:sz w:val="20"/>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provided, that such person was a Covered Officer in both the fiscal period for which the Accounting Restatement is required and at the time the Erroneously Awarded Compensation was Received. An executive officer of the Company’s parent(s) or subsidiaries shall be deemed a “Covered Officer” if they perform such policy-making functions for the Company. Identification of an executive officer for purposes of this Policy shall include at a minimum executive officers identified pursuant to Item 401(b) of Regulation S-K.</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d.</w:t>
      </w:r>
      <w:r>
        <w:rPr>
          <w:color w:val="000000"/>
        </w:rPr>
        <w:t>“</w:t>
      </w:r>
      <w:r>
        <w:rPr>
          <w:rFonts w:ascii="Times New Roman;sans-serif" w:hAnsi="Times New Roman;sans-serif"/>
          <w:b w:val="false"/>
          <w:i/>
          <w:color w:val="000000"/>
          <w:sz w:val="20"/>
        </w:rPr>
        <w:t>Erroneously Awarded Compensation</w:t>
      </w:r>
      <w:r>
        <w:rPr>
          <w:color w:val="000000"/>
        </w:rPr>
        <w:t xml:space="preserve">” </w:t>
      </w:r>
      <w:r>
        <w:rPr>
          <w:rFonts w:ascii="Times New Roman;sans-serif" w:hAnsi="Times New Roman;sans-serif"/>
          <w:b w:val="false"/>
          <w:color w:val="000000"/>
          <w:sz w:val="20"/>
        </w:rPr>
        <w:t>shall mean the amount of Incentive-Based Compensation Received by a Covered Officer that exceeds the amount of Recalculated Compensation, provided such compensation was Received while the Company has a class of securities listed on a national securities exchange or association.</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e.</w:t>
      </w:r>
      <w:r>
        <w:rPr>
          <w:color w:val="000000"/>
        </w:rPr>
        <w:t>“</w:t>
      </w:r>
      <w:r>
        <w:rPr>
          <w:rFonts w:ascii="Times New Roman;sans-serif" w:hAnsi="Times New Roman;sans-serif"/>
          <w:b w:val="false"/>
          <w:i/>
          <w:color w:val="000000"/>
          <w:sz w:val="20"/>
        </w:rPr>
        <w:t>Incentive-Based Compensation</w:t>
      </w:r>
      <w:r>
        <w:rPr>
          <w:color w:val="000000"/>
        </w:rPr>
        <w:t xml:space="preserve">” </w:t>
      </w:r>
      <w:r>
        <w:rPr>
          <w:rFonts w:ascii="Times New Roman;sans-serif" w:hAnsi="Times New Roman;sans-serif"/>
          <w:b w:val="false"/>
          <w:color w:val="000000"/>
          <w:sz w:val="20"/>
        </w:rPr>
        <w:t>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shall be considered a financial reporting measure. For the avoidance of doubt, incentive-based compensation subject to this Policy does not include stock options, restricted stock, restricted stock units, or similar equity-based awards that are earned solely on the basis of continued employment or service, the passage of time, or non-financial reporting measures.</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f.</w:t>
      </w:r>
      <w:r>
        <w:rPr>
          <w:color w:val="000000"/>
        </w:rPr>
        <w:t>“</w:t>
      </w:r>
      <w:r>
        <w:rPr>
          <w:rFonts w:ascii="Times New Roman;sans-serif" w:hAnsi="Times New Roman;sans-serif"/>
          <w:b w:val="false"/>
          <w:i/>
          <w:color w:val="000000"/>
          <w:sz w:val="20"/>
        </w:rPr>
        <w:t>Recalculated Compensation</w:t>
      </w:r>
      <w:r>
        <w:rPr>
          <w:color w:val="000000"/>
        </w:rPr>
        <w:t xml:space="preserve">” </w:t>
      </w:r>
      <w:r>
        <w:rPr>
          <w:rFonts w:ascii="Times New Roman;sans-serif" w:hAnsi="Times New Roman;sans-serif"/>
          <w:b w:val="false"/>
          <w:color w:val="000000"/>
          <w:sz w:val="20"/>
        </w:rPr>
        <w:t>shall mean the Incentive-Based Compensation that otherwise would have been Received had it been determined based on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shall be based on a reasonable estimate of the effect of the Accounting Restatement on the stock price or total shareholder return, as the case may be, upon which the compensation was Received. The Company shall maintain documentation of the determination of that reasonable estimate and provide such documentation to the national securities exchange or association on which its securities are listed.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g.Incentive-Based Compensation is deemed “</w:t>
      </w:r>
      <w:r>
        <w:rPr>
          <w:rFonts w:ascii="Times New Roman;sans-serif" w:hAnsi="Times New Roman;sans-serif"/>
          <w:b w:val="false"/>
          <w:i/>
          <w:color w:val="000000"/>
          <w:sz w:val="20"/>
        </w:rPr>
        <w:t>Received</w:t>
      </w:r>
      <w:r>
        <w:rPr>
          <w:color w:val="000000"/>
        </w:rPr>
        <w:t xml:space="preserve">” </w:t>
      </w:r>
      <w:r>
        <w:rPr>
          <w:rFonts w:ascii="Times New Roman;sans-serif" w:hAnsi="Times New Roman;sans-serif"/>
          <w:b w:val="false"/>
          <w:color w:val="000000"/>
          <w:sz w:val="20"/>
        </w:rPr>
        <w:t>in the Company’s fiscal period during which the financial reporting measure specified in the award of such Incentive-Based Compensation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h.</w:t>
      </w:r>
      <w:r>
        <w:rPr>
          <w:color w:val="000000"/>
        </w:rPr>
        <w:t>“</w:t>
      </w:r>
      <w:r>
        <w:rPr>
          <w:rFonts w:ascii="Times New Roman;sans-serif" w:hAnsi="Times New Roman;sans-serif"/>
          <w:b w:val="false"/>
          <w:i/>
          <w:color w:val="000000"/>
          <w:sz w:val="20"/>
        </w:rPr>
        <w:t>Recovery Period</w:t>
      </w:r>
      <w:r>
        <w:rPr>
          <w:color w:val="000000"/>
        </w:rPr>
        <w:t xml:space="preserve">” </w:t>
      </w:r>
      <w:r>
        <w:rPr>
          <w:rFonts w:ascii="Times New Roman;sans-serif" w:hAnsi="Times New Roman;sans-serif"/>
          <w:b w:val="false"/>
          <w:color w:val="000000"/>
          <w:sz w:val="20"/>
        </w:rPr>
        <w:t>shall mean the three completed fiscal years of the Company immediately preceding the date the Company is required to prepare an Accounting Restatement; provided that the Recovery Period shall not begin before October 2, 2023. For purposes of determining the Recovery Period, the Company is considered to be “required to prepare an Accounting Restatement” on the earlier to occur of: (i) the date the Committee or the Company’s officer or officers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Exceptions.</w:t>
      </w:r>
      <w:r>
        <w:rPr>
          <w:color w:val="000000"/>
        </w:rPr>
        <w:t xml:space="preserve"> </w:t>
      </w:r>
      <w:r>
        <w:rPr>
          <w:rFonts w:ascii="Times New Roman;sans-serif" w:hAnsi="Times New Roman;sans-serif"/>
          <w:b w:val="false"/>
          <w:color w:val="000000"/>
          <w:sz w:val="20"/>
        </w:rPr>
        <w:t>Notwithstanding anything to the contrary in this Policy, recovery of Erroneously Awarded Compensation will not be required to the extent the Company’s committee of independent directors responsible for executive compensation decisions (or a majority of the independent directors serving on the Company’s board of directors in the absence of such a committee) has made a determination that such recovery would be impracticable and one of the following conditions have been satisfied: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expense of enforcement, the Company shall make a reasonable attempt to recover such Erroneously Awarded Compensation, document such reasonable attempt(s) to recover, and provide that documentation to the national securities exchange or association on which its securities are listed.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b.Recovery would likely cause an otherwise tax-qualified retirement plan, under which benefits are broadly available to employees of the Company, to fail to meet the requirements of Section 401(a)(13) or 411(a) of the Internal Revenue Code and the regulations thereunder.</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Manner of Recovery.</w:t>
      </w:r>
      <w:r>
        <w:rPr>
          <w:color w:val="000000"/>
        </w:rPr>
        <w:t xml:space="preserve"> </w:t>
      </w:r>
      <w:r>
        <w:rPr>
          <w:rFonts w:ascii="Times New Roman;sans-serif" w:hAnsi="Times New Roman;sans-serif"/>
          <w:b w:val="false"/>
          <w:color w:val="000000"/>
          <w:sz w:val="20"/>
        </w:rPr>
        <w:t>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and/or (d) any other remedial and recovery action permitted by applicable law, as determined by the Committee.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Other.</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a.This Policy shall be administered and may be amended or modified from time to time by the Committee. The Committee is authorized to interpret and construe this Policy and to make all determinations necessary, appropriate, or advisable for the administration of this Policy. Any determinations made by the Committee shall be final and binding on all affected individuals and need not be uniform with respect to each individual covered by this Policy.</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b.Subject to any limitation under applicable law, the Committee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c.The Company shall not indemnify any Covered Officer against the loss of Erroneously Awarded Compensation that is repaid, returned, or recovered pursuant to the terms of this Policy, or pay or reimburse any Covered Officer for the cost of any third-party insurance purchased by a Covered Officer to cover any such loss under this Policy and/or pursuant to the applicable federal securities laws or listing standards of the national securities exchange or association on which the Company’s securities are listed.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d.The Committee is authorized to engage, on behalf of the Company, any third-party advisors it deems advisable in order to perform any calculations contemplated by this Policy. For the avoidance of doubt, recovery under this Policy with respect to a Covered Officer shall not require the finding of any misconduct by such Covered Officer or such Covered Officer being found responsible for the accounting error leading to an Accounting Restatement.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e.The Company shall file all disclosures with respect to this Policy in accordance with the requirements of the Federal securities laws, including the disclosure required by the applicable Securities and Exchange Commission filings.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f.Subject to the discretion of the Committee, a Covered Officer may be required to reimburse the Company for any and all expenses reasonably incurred (including legal fees) by the Company in recovering Erroneously Awarded Compensation.</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g.Any right to recovery under this Policy shall be in addition to, and not in lieu of, any other rights of recovery that may be available to the Company; provided, however, that any determination by the Committee to recover or forfeit awards made or amounts received due to an Accounting Restatement shall be made in a manner consistent with this Policy. To the extent that a Covered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Committee in its sole discretion.</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h.This Policy shall be binding and enforceable against all Covered Officers and their beneficiaries, estates, heirs, executors, administrators, or other legal representatives to the extent required by the applicable federal securities laws or listing standards of the national securities exchange or association on which the Company’s securities are listed or as otherwise determined by the Committee.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ROOT, INC.</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COMPENSATION RECOVERY POLICY</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ACKNOWLEDGEMENT AND ACCEPTANCE FORM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terms used but not otherwise defined in this Acknowledgement and Acceptance Form shall have the meanings ascribed to such terms in the Root, Inc. Compensation Recovery Policy (the “Policy”). By signing below, the undersigned executive officer (the “Covered Officer”) acknowledges and confirms that he or she has received and reviewed a copy of the Policy and, in addition, the Covered Officer acknowledges and agrees as follows: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Covered Officer is and will continue to be subject to the Policy and that the Policy will apply both during and after the Covered Officer’s employment with the Company;</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b.to the extent necessary to comply with the Policy, the Policy hereby amends any employment agreement, equity award agreement, or similar agreement that the Covered Officer is a party to with the Company, and shall apply and govern Incentive-based Compensation received by any Covered Officer, notwithstanding any contrary or supplemental term or condition in any document, plan, or agreement, including without limitation, any employment contract, offer letter, indemnification agreement, equity agreement, or equity plan document.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c.the Covered Officer shall abide by the terms of the Policy, including, without limitation, by returning any Erroneously Awarded Compensation to the Company to the extent required by, and in a manner permitted by, the Policy;</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d.any amounts payable to the Covered Officer, including any Incentive-based Compensation, shall be subject to the Policy as may be in effect and modified from time to time in the sole discretion of the Committee or as required by applicable law or the requirements of the national securities exchange or association on which the Company’s securities are listed, and that such modification will be deemed to amend this acknowledgment;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e.the Company may recover compensation paid to the Covered Officer through any method of recovery the Committee deems appropriate, and the Covered Officer agrees to comply with any request or demand for repayment by the Company in order to comply with the Policy;</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f.the recovery of Erroneously Awarded Compensation under this Policy will not give rise to any right to voluntarily terminate employment for “good reason,” or due to a “constructive termination” (or any similar term of like effect) under any plan, program, or policy of, or agreement with the Company; </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g.the Company may, to the greatest extent permitted by applicable law, reduce any amount that may become payable to the Executive Officer by any amount to be recovered by the Company pursuant to the Policy to the extent such amount has not been returned by the Covered Officer to the Company prior to the date that any subsequent amount becomes payable to the Covered Officer;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h.any assertion or application of any rights under federal, state, local, or foreign law or in contract or in equity that would otherwise conflict with or narrow the Company’s authority to interpret, apply, and enforce the Policy to its fullest extent, including but not limited to, the Company’s authority to withhold or divert wages pursuant to this Policy, is hereby waived by the Covered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Print Name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88882/000162828020015173/exhibit31-8xkxamendeda.htm" TargetMode="External"/><Relationship Id="rId3" Type="http://schemas.openxmlformats.org/officeDocument/2006/relationships/hyperlink" Target="http://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0001788882/000119312521289291/d236036dex41.htm" TargetMode="External"/><Relationship Id="rId8" Type="http://schemas.openxmlformats.org/officeDocument/2006/relationships/hyperlink" Target="http://www.sec.gov/Archives/edgar/data/1788882/000119312522018949/d295910dex41.htm" TargetMode="External"/><Relationship Id="rId9" Type="http://schemas.openxmlformats.org/officeDocument/2006/relationships/hyperlink" Target="https://www.sec.gov/Archives/edgar/data/1788882/000119312522018949/d295910dex42.htm" TargetMode="External"/><Relationship Id="rId10" Type="http://schemas.openxmlformats.org/officeDocument/2006/relationships/hyperlink" Target="https://www.sec.gov/Archives/edgar/data/1788882/000178888221000042/a992-espp.htm" TargetMode="External"/><Relationship Id="rId11" Type="http://schemas.openxmlformats.org/officeDocument/2006/relationships/hyperlink" Target="https://www.sec.gov/Archives/edgar/data/1788882/000162828022029241/a101firstamendmentto2020em.htm" TargetMode="External"/><Relationship Id="rId12" Type="http://schemas.openxmlformats.org/officeDocument/2006/relationships/hyperlink" Target="http://www.sec.gov/Archives/edgar/data/1788882/000178888220000016/a101rootinc2020equityi.htm" TargetMode="External"/><Relationship Id="rId13" Type="http://schemas.openxmlformats.org/officeDocument/2006/relationships/hyperlink" Target="https://www.sec.gov/Archives/edgar/data/1788882/000162828022029241/a102firstamendmentto2020eq.htm" TargetMode="External"/><Relationship Id="rId14" Type="http://schemas.openxmlformats.org/officeDocument/2006/relationships/hyperlink" Target="http://www.sec.gov/Archives/edgar/data/1788882/000162828020014305/exhibit101-sx1xamended.htm" TargetMode="External"/><Relationship Id="rId15" Type="http://schemas.openxmlformats.org/officeDocument/2006/relationships/hyperlink" Target="https://www.sec.gov/Archives/edgar/data/1788882/000162828022029241/a103firstamendmentto2015am.htm" TargetMode="External"/><Relationship Id="rId16" Type="http://schemas.openxmlformats.org/officeDocument/2006/relationships/hyperlink" Target="http://www.sec.gov/Archives/edgar/data/0001788882/000178888221000011/atimmemploymentagreement-1.htm" TargetMode="External"/><Relationship Id="rId17" Type="http://schemas.openxmlformats.org/officeDocument/2006/relationships/hyperlink" Target="http://www.sec.gov/Archives/edgar/data/0001788882/000178888221000011/drosenthalemploymentagreem.htm" TargetMode="External"/><Relationship Id="rId18" Type="http://schemas.openxmlformats.org/officeDocument/2006/relationships/hyperlink" Target="https://www.sec.gov/Archives/edgar/data/1788882/000162828022003524/a1027firstamendmenttoamend.htm" TargetMode="External"/><Relationship Id="rId19" Type="http://schemas.openxmlformats.org/officeDocument/2006/relationships/hyperlink" Target="https://www.sec.gov/Archives/edgar/data/1788882/000162828022003524/a1026firstamendmenttooffer.htm" TargetMode="External"/><Relationship Id="rId20" Type="http://schemas.openxmlformats.org/officeDocument/2006/relationships/hyperlink" Target="https://www.sec.gov/Archives/edgar/data/1788882/000178888222000013/executiveemploymentagreeme.htm" TargetMode="External"/><Relationship Id="rId21" Type="http://schemas.openxmlformats.org/officeDocument/2006/relationships/hyperlink" Target="https://www.sec.gov/Archives/edgar/data/1788882/000178888222000025/a102executiveemploymentagr.htm" TargetMode="External"/><Relationship Id="rId22" Type="http://schemas.openxmlformats.org/officeDocument/2006/relationships/hyperlink" Target="https://www.sec.gov/Archives/edgar/data/1788882/000162828022003524/a103formofexecutiveretenti.htm" TargetMode="External"/><Relationship Id="rId23" Type="http://schemas.openxmlformats.org/officeDocument/2006/relationships/hyperlink" Target="https://www.sec.gov/Archives/edgar/data/1788882/000162828022003524/a104rootincnon-employeedir.htm" TargetMode="External"/><Relationship Id="rId24" Type="http://schemas.openxmlformats.org/officeDocument/2006/relationships/hyperlink" Target="http://www.sec.gov/Archives/edgar/data/1788882/000162828020014305/exhibit102-sx1xformofn.htm" TargetMode="External"/><Relationship Id="rId25" Type="http://schemas.openxmlformats.org/officeDocument/2006/relationships/hyperlink" Target="http://www.sec.gov/Archives/edgar/data/1788882/000178888221000011/exhibit107-formofnoticeofs.htm" TargetMode="External"/><Relationship Id="rId26" Type="http://schemas.openxmlformats.org/officeDocument/2006/relationships/hyperlink" Target="http://www.sec.gov/Archives/edgar/data/0001788882/000178888221000033/a102formofrootinc2020equit.htm" TargetMode="External"/><Relationship Id="rId27" Type="http://schemas.openxmlformats.org/officeDocument/2006/relationships/hyperlink" Target="http://www.sec.gov/Archives/edgar/data/0001788882/000178888221000062/a101rootincstockoptiongran.htm" TargetMode="External"/><Relationship Id="rId28" Type="http://schemas.openxmlformats.org/officeDocument/2006/relationships/hyperlink" Target="https://www.sec.gov/Archives/edgar/data/1788882/000162828022003524/a1022formofdirectorandoffi.htm" TargetMode="External"/><Relationship Id="rId29" Type="http://schemas.openxmlformats.org/officeDocument/2006/relationships/hyperlink" Target="http://www.sec.gov/Archives/edgar/data/1788882/000162828020014305/exhibit104-sx1xformofr.htm" TargetMode="External"/><Relationship Id="rId30" Type="http://schemas.openxmlformats.org/officeDocument/2006/relationships/hyperlink" Target="https://www.sec.gov/Archives/edgar/data/1788882/000178888222000020/a101termloanagreementexecu.htm" TargetMode="External"/><Relationship Id="rId31" Type="http://schemas.openxmlformats.org/officeDocument/2006/relationships/hyperlink" Target="http://www.sec.gov/Archives/edgar/data/0001788882/000119312521289291/d236036dex101.htm" TargetMode="External"/><Relationship Id="rId32" Type="http://schemas.openxmlformats.org/officeDocument/2006/relationships/hyperlink" Target="https://www.sec.gov/Archives/edgar/data/1788882/000178888222000025/a103firstamendmenttocommer.htm" TargetMode="External"/><Relationship Id="rId33" Type="http://schemas.openxmlformats.org/officeDocument/2006/relationships/hyperlink" Target="https://www.sec.gov/Archives/edgar/data/1788882/000162828022003524/a1030rootincexecutivecompe.htm" TargetMode="External"/><Relationship Id="rId34" Type="http://schemas.openxmlformats.org/officeDocument/2006/relationships/hyperlink" Target="https://www.sec.gov/Archives/edgar/data/1788882/000178888222000020/a109rootcashincentiveagree.htm" TargetMode="External"/><Relationship Id="rId35" Type="http://schemas.openxmlformats.org/officeDocument/2006/relationships/hyperlink" Target="http://www.sec.gov/Archives/edgar/data/1788882/000095012321010425/d72455dex101.htm" TargetMode="External"/><Relationship Id="rId36" Type="http://schemas.openxmlformats.org/officeDocument/2006/relationships/hyperlink" Target="http://www.sec.gov/Archives/edgar/data/0001788882/000119312521289291/d236036dex103.htm" TargetMode="External"/><Relationship Id="rId37" Type="http://schemas.openxmlformats.org/officeDocument/2006/relationships/hyperlink" Target="http://www.sec.gov/Archives/edgar/data/1788882/000162828020014305/exhibit42-sx1xfifthame.htm" TargetMode="External"/><Relationship Id="rId38" Type="http://schemas.openxmlformats.org/officeDocument/2006/relationships/hyperlink" Target="https://www.sec.gov/Archives/edgar/data/1788882/000162828022003524/a105amendmenttothefifthame.htm" TargetMode="External"/><Relationship Id="rId39" Type="http://schemas.openxmlformats.org/officeDocument/2006/relationships/hyperlink" Target="http://www.sec.gov/Archives/edgar/data/1788882/000119312522018949/d295910dex102.htm" TargetMode="External"/><Relationship Id="rId40" Type="http://schemas.openxmlformats.org/officeDocument/2006/relationships/hyperlink" Target="http://www.sec.gov/Archives/edgar/data/1788882/000119312522018949/d295910dex103.htm" TargetMode="External"/><Relationship Id="rId41" Type="http://schemas.openxmlformats.org/officeDocument/2006/relationships/hyperlink" Target="https://www.sec.gov/Archives/edgar/data/1788882/000162828023004580/exhibit1034.htm" TargetMode="External"/><Relationship Id="rId42" Type="http://schemas.openxmlformats.org/officeDocument/2006/relationships/hyperlink" Target="https://www.sec.gov/Archives/edgar/data/1788882/000162828023005851/executiveemploymentagreeme.htm" TargetMode="External"/><Relationship Id="rId43" Type="http://schemas.openxmlformats.org/officeDocument/2006/relationships/hyperlink" Target="https://www.sec.gov/Archives/edgar/data/1788882/000162828023015215/a103retentionbonusagreemen.htm" TargetMode="External"/><Relationship Id="rId44" Type="http://schemas.openxmlformats.org/officeDocument/2006/relationships/hyperlink" Target="https://www.sec.gov/Archives/edgar/data/1788882/000162828023026759/a101non-employeedirectorco.htm" TargetMode="External"/><Relationship Id="rId45" Type="http://schemas.openxmlformats.org/officeDocument/2006/relationships/hyperlink" Target="https://www.sec.gov/Archives/edgar/data/1788882/000162828023029070/rootincexecutiveretentiona.htm" TargetMode="External"/><Relationship Id="rId46" Type="http://schemas.openxmlformats.org/officeDocument/2006/relationships/hyperlink" Target="https://www.sec.gov/Archives/edgar/data/1788882/000162828023035968/a102performance-basedrsuaw.htm" TargetMode="External"/><Relationship Id="rId47" Type="http://schemas.openxmlformats.org/officeDocument/2006/relationships/hyperlink" Target="https://www.sec.gov/Archives/edgar/data/1788882/000162828023035296/rootincnon-employeedirecto.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84775</Words>
  <Characters>471511</Characters>
  <CharactersWithSpaces>553238</CharactersWithSpaces>
  <Paragraphs>5399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