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60325</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2" w:lineRule="exact"/>
        <w:rPr>
          <w:sz w:val="24"/>
          <w:szCs w:val="24"/>
          <w:color w:val="auto"/>
        </w:rPr>
      </w:pPr>
    </w:p>
    <w:p>
      <w:pPr>
        <w:jc w:val="center"/>
        <w:ind w:left="4100" w:right="1580" w:hanging="2527"/>
        <w:spacing w:after="0" w:line="260" w:lineRule="auto"/>
        <w:tabs>
          <w:tab w:leader="none" w:pos="1768" w:val="left"/>
        </w:tabs>
        <w:numPr>
          <w:ilvl w:val="1"/>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ind w:left="55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15" w:lineRule="exact"/>
        <w:rPr>
          <w:rFonts w:ascii="MS PGothic" w:cs="MS PGothic" w:eastAsia="MS PGothic" w:hAnsi="MS PGothic"/>
          <w:sz w:val="16"/>
          <w:szCs w:val="16"/>
          <w:color w:val="auto"/>
          <w:highlight w:val="black"/>
        </w:rPr>
      </w:pPr>
    </w:p>
    <w:p>
      <w:pPr>
        <w:ind w:left="1620" w:hanging="193"/>
        <w:spacing w:after="0"/>
        <w:tabs>
          <w:tab w:leader="none" w:pos="16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15(d)OF THE SECURITIES EXCHANGE ACT OF 1934</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6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For the transition period from_____to_____</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080"/>
              <w:spacing w:after="0"/>
              <w:rPr>
                <w:sz w:val="20"/>
                <w:szCs w:val="20"/>
                <w:color w:val="auto"/>
              </w:rPr>
            </w:pPr>
            <w:r>
              <w:rPr>
                <w:rFonts w:ascii="Arial" w:cs="Arial" w:eastAsia="Arial" w:hAnsi="Arial"/>
                <w:sz w:val="13"/>
                <w:szCs w:val="13"/>
                <w:b w:val="1"/>
                <w:bCs w:val="1"/>
                <w:color w:val="auto"/>
                <w:w w:val="87"/>
              </w:rPr>
              <w:t>Commission file number 001-39658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100"/>
              <w:spacing w:after="0"/>
              <w:rPr>
                <w:sz w:val="20"/>
                <w:szCs w:val="20"/>
                <w:color w:val="auto"/>
              </w:rPr>
            </w:pPr>
            <w:r>
              <w:rPr>
                <w:rFonts w:ascii="Arial" w:cs="Arial" w:eastAsia="Arial" w:hAnsi="Arial"/>
                <w:sz w:val="32"/>
                <w:szCs w:val="32"/>
                <w:b w:val="1"/>
                <w:bCs w:val="1"/>
                <w:color w:val="auto"/>
              </w:rPr>
              <w:t>ROOT,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3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Delaware</w:t>
            </w: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40" w:type="dxa"/>
            <w:vAlign w:val="bottom"/>
            <w:vMerge w:val="restart"/>
          </w:tcPr>
          <w:p>
            <w:pPr>
              <w:jc w:val="right"/>
              <w:ind w:right="1468"/>
              <w:spacing w:after="0"/>
              <w:rPr>
                <w:sz w:val="20"/>
                <w:szCs w:val="20"/>
                <w:color w:val="auto"/>
              </w:rPr>
            </w:pPr>
            <w:r>
              <w:rPr>
                <w:rFonts w:ascii="Arial" w:cs="Arial" w:eastAsia="Arial" w:hAnsi="Arial"/>
                <w:sz w:val="14"/>
                <w:szCs w:val="14"/>
                <w:b w:val="1"/>
                <w:bCs w:val="1"/>
                <w:color w:val="auto"/>
              </w:rPr>
              <w:t>84-2717903</w:t>
            </w:r>
          </w:p>
        </w:tc>
        <w:tc>
          <w:tcPr>
            <w:tcW w:w="0" w:type="dxa"/>
            <w:vAlign w:val="bottom"/>
          </w:tcPr>
          <w:p>
            <w:pPr>
              <w:spacing w:after="0"/>
              <w:rPr>
                <w:sz w:val="1"/>
                <w:szCs w:val="1"/>
                <w:color w:val="auto"/>
              </w:rPr>
            </w:pPr>
          </w:p>
        </w:tc>
      </w:tr>
      <w:tr>
        <w:trPr>
          <w:trHeight w:val="292"/>
        </w:trPr>
        <w:tc>
          <w:tcPr>
            <w:tcW w:w="3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center"/>
              <w:ind w:right="26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19"/>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80 E. Rich Street, Suite 500</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tcPr>
          <w:p>
            <w:pPr>
              <w:jc w:val="right"/>
              <w:ind w:right="1648"/>
              <w:spacing w:after="0"/>
              <w:rPr>
                <w:sz w:val="20"/>
                <w:szCs w:val="20"/>
                <w:color w:val="auto"/>
              </w:rPr>
            </w:pPr>
            <w:r>
              <w:rPr>
                <w:rFonts w:ascii="Arial" w:cs="Arial" w:eastAsia="Arial" w:hAnsi="Arial"/>
                <w:sz w:val="14"/>
                <w:szCs w:val="14"/>
                <w:b w:val="1"/>
                <w:bCs w:val="1"/>
                <w:color w:val="auto"/>
              </w:rPr>
              <w:t>43215</w:t>
            </w:r>
          </w:p>
        </w:tc>
        <w:tc>
          <w:tcPr>
            <w:tcW w:w="0" w:type="dxa"/>
            <w:vAlign w:val="bottom"/>
          </w:tcPr>
          <w:p>
            <w:pPr>
              <w:spacing w:after="0"/>
              <w:rPr>
                <w:sz w:val="1"/>
                <w:szCs w:val="1"/>
                <w:color w:val="auto"/>
              </w:rPr>
            </w:pPr>
          </w:p>
        </w:tc>
      </w:tr>
      <w:tr>
        <w:trPr>
          <w:trHeight w:val="186"/>
        </w:trPr>
        <w:tc>
          <w:tcPr>
            <w:tcW w:w="336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Columbus, Ohio</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6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71"/>
        </w:trPr>
        <w:tc>
          <w:tcPr>
            <w:tcW w:w="3360" w:type="dxa"/>
            <w:vAlign w:val="bottom"/>
          </w:tcPr>
          <w:p>
            <w:pPr>
              <w:spacing w:after="0"/>
              <w:rPr>
                <w:sz w:val="24"/>
                <w:szCs w:val="24"/>
                <w:color w:val="auto"/>
              </w:rPr>
            </w:pPr>
          </w:p>
        </w:tc>
        <w:tc>
          <w:tcPr>
            <w:tcW w:w="3380" w:type="dxa"/>
            <w:vAlign w:val="bottom"/>
            <w:gridSpan w:val="3"/>
          </w:tcPr>
          <w:p>
            <w:pPr>
              <w:jc w:val="center"/>
              <w:ind w:left="1079"/>
              <w:spacing w:after="0"/>
              <w:rPr>
                <w:sz w:val="20"/>
                <w:szCs w:val="20"/>
                <w:color w:val="auto"/>
              </w:rPr>
            </w:pPr>
            <w:r>
              <w:rPr>
                <w:rFonts w:ascii="Arial" w:cs="Arial" w:eastAsia="Arial" w:hAnsi="Arial"/>
                <w:sz w:val="16"/>
                <w:szCs w:val="16"/>
                <w:b w:val="1"/>
                <w:bCs w:val="1"/>
                <w:color w:val="auto"/>
                <w:w w:val="93"/>
              </w:rPr>
              <w:t>(</w:t>
            </w:r>
            <w:r>
              <w:rPr>
                <w:rFonts w:ascii="Arial" w:cs="Arial" w:eastAsia="Arial" w:hAnsi="Arial"/>
                <w:sz w:val="16"/>
                <w:szCs w:val="16"/>
                <w:color w:val="auto"/>
                <w:w w:val="93"/>
              </w:rPr>
              <w:t>866</w:t>
            </w:r>
            <w:r>
              <w:rPr>
                <w:rFonts w:ascii="Arial" w:cs="Arial" w:eastAsia="Arial" w:hAnsi="Arial"/>
                <w:sz w:val="16"/>
                <w:szCs w:val="16"/>
                <w:b w:val="1"/>
                <w:bCs w:val="1"/>
                <w:color w:val="auto"/>
                <w:w w:val="93"/>
              </w:rPr>
              <w:t xml:space="preserve">) </w:t>
            </w:r>
            <w:r>
              <w:rPr>
                <w:rFonts w:ascii="Arial" w:cs="Arial" w:eastAsia="Arial" w:hAnsi="Arial"/>
                <w:sz w:val="16"/>
                <w:szCs w:val="16"/>
                <w:color w:val="auto"/>
                <w:w w:val="93"/>
              </w:rPr>
              <w:t>980-9431</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4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56"/>
        </w:trPr>
        <w:tc>
          <w:tcPr>
            <w:tcW w:w="3360" w:type="dxa"/>
            <w:vAlign w:val="bottom"/>
            <w:tcBorders>
              <w:left w:val="single" w:sz="8" w:color="auto"/>
            </w:tcBorders>
          </w:tcPr>
          <w:p>
            <w:pPr>
              <w:jc w:val="center"/>
              <w:ind w:left="328"/>
              <w:spacing w:after="0" w:line="156" w:lineRule="exact"/>
              <w:rPr>
                <w:sz w:val="20"/>
                <w:szCs w:val="20"/>
                <w:color w:val="auto"/>
              </w:rPr>
            </w:pPr>
            <w:r>
              <w:rPr>
                <w:rFonts w:ascii="Arial" w:cs="Arial" w:eastAsia="Arial" w:hAnsi="Arial"/>
                <w:sz w:val="14"/>
                <w:szCs w:val="14"/>
                <w:color w:val="auto"/>
                <w:w w:val="92"/>
              </w:rPr>
              <w:t>Class A common stock,</w:t>
            </w:r>
          </w:p>
        </w:tc>
        <w:tc>
          <w:tcPr>
            <w:tcW w:w="4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Borders>
              <w:right w:val="single" w:sz="8" w:color="auto"/>
            </w:tcBorders>
            <w:gridSpan w:val="2"/>
          </w:tcPr>
          <w:p>
            <w:pPr>
              <w:jc w:val="center"/>
              <w:ind w:right="780"/>
              <w:spacing w:after="0" w:line="156" w:lineRule="exact"/>
              <w:rPr>
                <w:sz w:val="20"/>
                <w:szCs w:val="20"/>
                <w:color w:val="auto"/>
              </w:rPr>
            </w:pPr>
            <w:r>
              <w:rPr>
                <w:rFonts w:ascii="Arial" w:cs="Arial" w:eastAsia="Arial" w:hAnsi="Arial"/>
                <w:sz w:val="14"/>
                <w:szCs w:val="14"/>
                <w:color w:val="auto"/>
                <w:w w:val="98"/>
              </w:rPr>
              <w:t>ROOT</w:t>
            </w:r>
          </w:p>
        </w:tc>
        <w:tc>
          <w:tcPr>
            <w:tcW w:w="320" w:type="dxa"/>
            <w:vAlign w:val="bottom"/>
          </w:tcPr>
          <w:p>
            <w:pPr>
              <w:spacing w:after="0"/>
              <w:rPr>
                <w:sz w:val="13"/>
                <w:szCs w:val="13"/>
                <w:color w:val="auto"/>
              </w:rPr>
            </w:pPr>
          </w:p>
        </w:tc>
        <w:tc>
          <w:tcPr>
            <w:tcW w:w="3440" w:type="dxa"/>
            <w:vAlign w:val="bottom"/>
            <w:tcBorders>
              <w:right w:val="single" w:sz="8" w:color="auto"/>
            </w:tcBorders>
          </w:tcPr>
          <w:p>
            <w:pPr>
              <w:jc w:val="center"/>
              <w:ind w:right="268"/>
              <w:spacing w:after="0" w:line="156"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8"/>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w w:val="91"/>
              </w:rPr>
              <w:t>$0.0001 par value per share</w:t>
            </w:r>
          </w:p>
        </w:tc>
        <w:tc>
          <w:tcPr>
            <w:tcW w:w="4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24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46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60"/>
          </w:cols>
          <w:pgMar w:left="320" w:top="670" w:right="319" w:bottom="1440" w:gutter="0" w:footer="0" w:header="0"/>
        </w:sectPr>
      </w:pPr>
    </w:p>
    <w:p>
      <w:pPr>
        <w:spacing w:after="0" w:line="1"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4740" w:space="720"/>
            <w:col w:w="5800"/>
          </w:cols>
          <w:pgMar w:left="320" w:top="670" w:right="319"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4060"/>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4740" w:space="720"/>
            <w:col w:w="5800"/>
          </w:cols>
          <w:pgMar w:left="320" w:top="670" w:right="319" w:bottom="1440" w:gutter="0" w:footer="0" w:header="0"/>
          <w:type w:val="continuous"/>
        </w:sectPr>
      </w:pPr>
    </w:p>
    <w:p>
      <w:pPr>
        <w:ind w:left="54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20" w:top="670" w:right="319" w:bottom="1440" w:gutter="0" w:footer="0" w:header="0"/>
          <w:type w:val="continuous"/>
        </w:sectPr>
      </w:pPr>
    </w:p>
    <w:p>
      <w:pPr>
        <w:spacing w:after="0" w:line="323" w:lineRule="exact"/>
        <w:rPr>
          <w:sz w:val="24"/>
          <w:szCs w:val="24"/>
          <w:color w:val="auto"/>
        </w:rPr>
      </w:pPr>
    </w:p>
    <w:p>
      <w:pPr>
        <w:ind w:right="58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0" w:lineRule="exact"/>
        <w:rPr>
          <w:sz w:val="24"/>
          <w:szCs w:val="24"/>
          <w:color w:val="auto"/>
        </w:rPr>
      </w:pPr>
    </w:p>
    <w:p>
      <w:pPr>
        <w:ind w:right="8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0"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0" w:lineRule="exact"/>
        <w:rPr>
          <w:sz w:val="24"/>
          <w:szCs w:val="24"/>
          <w:color w:val="auto"/>
        </w:rPr>
      </w:pPr>
    </w:p>
    <w:p>
      <w:pPr>
        <w:ind w:right="300"/>
        <w:spacing w:after="0" w:line="18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The aggregate market value of the registrant's Class A common stock, par value $0.0001 per share (the "Class A common stock") held by non-affiliates was approximately $188.2 million based upon the June 30, 2022, closing price of $21.42 as reported by the Nasdaq Global Select Market.</w:t>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There were 9.2 million shares of Class A common stock and 5.0 million shares of Class B common stock outstanding as of February 16, 2023.</w:t>
      </w: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DOCUMENTS INCORPORATED BY REFERENCE</w:t>
      </w:r>
    </w:p>
    <w:p>
      <w:pPr>
        <w:spacing w:after="0" w:line="177" w:lineRule="exact"/>
        <w:rPr>
          <w:sz w:val="24"/>
          <w:szCs w:val="24"/>
          <w:color w:val="auto"/>
        </w:rPr>
      </w:pPr>
    </w:p>
    <w:p>
      <w:pPr>
        <w:ind w:right="160"/>
        <w:spacing w:after="0" w:line="293" w:lineRule="auto"/>
        <w:rPr>
          <w:sz w:val="20"/>
          <w:szCs w:val="20"/>
          <w:color w:val="auto"/>
        </w:rPr>
      </w:pPr>
      <w:r>
        <w:rPr>
          <w:rFonts w:ascii="Arial" w:cs="Arial" w:eastAsia="Arial" w:hAnsi="Arial"/>
          <w:sz w:val="14"/>
          <w:szCs w:val="14"/>
          <w:color w:val="auto"/>
        </w:rPr>
        <w:t>Part III of this report incorporates by reference specific portions of the Registrant’s Notice of Annual Meeting and Proxy Statement relating to the Annual Meeting of Stockholders to be held on or about June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70" w:right="31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4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9"/>
              </w:rPr>
              <w:t>ROOT, INC.</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34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rPr>
              <w:t>FORM 10-K</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20" w:type="dxa"/>
            <w:vAlign w:val="bottom"/>
            <w:gridSpan w:val="21"/>
          </w:tcPr>
          <w:p>
            <w:pPr>
              <w:jc w:val="center"/>
              <w:ind w:right="2600"/>
              <w:spacing w:after="0"/>
              <w:rPr>
                <w:sz w:val="20"/>
                <w:szCs w:val="20"/>
                <w:color w:val="auto"/>
              </w:rPr>
            </w:pPr>
            <w:r>
              <w:rPr>
                <w:rFonts w:ascii="Arial" w:cs="Arial" w:eastAsia="Arial" w:hAnsi="Arial"/>
                <w:sz w:val="18"/>
                <w:szCs w:val="18"/>
                <w:b w:val="1"/>
                <w:bCs w:val="1"/>
                <w:color w:val="auto"/>
                <w:w w:val="90"/>
              </w:rPr>
              <w:t>As of and For the Year Ended December 31, 2022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7"/>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720" w:type="dxa"/>
            <w:vAlign w:val="bottom"/>
            <w:gridSpan w:val="37"/>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09"/>
        </w:trPr>
        <w:tc>
          <w:tcPr>
            <w:tcW w:w="10720" w:type="dxa"/>
            <w:vAlign w:val="bottom"/>
            <w:gridSpan w:val="37"/>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Risk Factors Summary</w:t>
            </w:r>
          </w:p>
        </w:tc>
        <w:tc>
          <w:tcPr>
            <w:tcW w:w="6840" w:type="dxa"/>
            <w:vAlign w:val="bottom"/>
            <w:gridSpan w:val="20"/>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12"/>
          </w:tcPr>
          <w:p>
            <w:pPr>
              <w:jc w:val="center"/>
              <w:ind w:right="4900"/>
              <w:spacing w:after="0"/>
              <w:rPr>
                <w:sz w:val="20"/>
                <w:szCs w:val="20"/>
                <w:color w:val="auto"/>
              </w:rPr>
            </w:pPr>
            <w:r>
              <w:rPr>
                <w:rFonts w:ascii="Arial" w:cs="Arial" w:eastAsia="Arial" w:hAnsi="Arial"/>
                <w:sz w:val="18"/>
                <w:szCs w:val="18"/>
                <w:color w:val="0000FF"/>
                <w:w w:val="91"/>
              </w:rPr>
              <w:t>Part I.</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3"/>
          </w:tcPr>
          <w:p>
            <w:pPr>
              <w:spacing w:after="0"/>
              <w:rPr>
                <w:sz w:val="20"/>
                <w:szCs w:val="20"/>
                <w:color w:val="auto"/>
              </w:rPr>
            </w:pPr>
            <w:r>
              <w:rPr>
                <w:rFonts w:ascii="Arial" w:cs="Arial" w:eastAsia="Arial" w:hAnsi="Arial"/>
                <w:sz w:val="18"/>
                <w:szCs w:val="18"/>
                <w:color w:val="0000FF"/>
                <w:w w:val="90"/>
              </w:rPr>
              <w:t>Item 1.</w:t>
            </w:r>
          </w:p>
        </w:tc>
        <w:tc>
          <w:tcPr>
            <w:tcW w:w="520" w:type="dxa"/>
            <w:vAlign w:val="bottom"/>
            <w:gridSpan w:val="2"/>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4"/>
              </w:rPr>
              <w:t>Business</w:t>
            </w:r>
          </w:p>
        </w:tc>
        <w:tc>
          <w:tcPr>
            <w:tcW w:w="3680" w:type="dxa"/>
            <w:vAlign w:val="bottom"/>
            <w:gridSpan w:val="18"/>
          </w:tcPr>
          <w:p>
            <w:pPr>
              <w:spacing w:after="0"/>
              <w:rPr>
                <w:sz w:val="18"/>
                <w:szCs w:val="18"/>
                <w:color w:val="auto"/>
              </w:rPr>
            </w:pPr>
          </w:p>
        </w:tc>
        <w:tc>
          <w:tcPr>
            <w:tcW w:w="440" w:type="dxa"/>
            <w:vAlign w:val="bottom"/>
            <w:tcBorders>
              <w:top w:val="single" w:sz="8" w:color="0000FF"/>
            </w:tcBorders>
            <w:gridSpan w:val="2"/>
          </w:tcPr>
          <w:p>
            <w:pPr>
              <w:spacing w:after="0"/>
              <w:rPr>
                <w:sz w:val="18"/>
                <w:szCs w:val="18"/>
                <w:color w:val="auto"/>
              </w:rPr>
            </w:pPr>
          </w:p>
        </w:tc>
        <w:tc>
          <w:tcPr>
            <w:tcW w:w="4900" w:type="dxa"/>
            <w:vAlign w:val="bottom"/>
            <w:gridSpan w:val="10"/>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Arial" w:cs="Arial" w:eastAsia="Arial" w:hAnsi="Arial"/>
                <w:sz w:val="18"/>
                <w:szCs w:val="18"/>
                <w:color w:val="0000FF"/>
                <w:w w:val="79"/>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1A.</w:t>
            </w:r>
          </w:p>
        </w:tc>
        <w:tc>
          <w:tcPr>
            <w:tcW w:w="42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Arial" w:cs="Arial" w:eastAsia="Arial" w:hAnsi="Arial"/>
                <w:sz w:val="18"/>
                <w:szCs w:val="18"/>
                <w:color w:val="0000FF"/>
              </w:rPr>
              <w:t>Risk Factors</w:t>
            </w: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1B.</w:t>
            </w:r>
          </w:p>
        </w:tc>
        <w:tc>
          <w:tcPr>
            <w:tcW w:w="42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3"/>
          </w:tcPr>
          <w:p>
            <w:pPr>
              <w:spacing w:after="0"/>
              <w:rPr>
                <w:sz w:val="20"/>
                <w:szCs w:val="20"/>
                <w:color w:val="auto"/>
              </w:rPr>
            </w:pPr>
            <w:r>
              <w:rPr>
                <w:rFonts w:ascii="Arial" w:cs="Arial" w:eastAsia="Arial" w:hAnsi="Arial"/>
                <w:sz w:val="18"/>
                <w:szCs w:val="18"/>
                <w:color w:val="0000FF"/>
                <w:w w:val="90"/>
              </w:rPr>
              <w:t>Item 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gridSpan w:val="11"/>
          </w:tcPr>
          <w:p>
            <w:pPr>
              <w:spacing w:after="0"/>
              <w:rPr>
                <w:sz w:val="20"/>
                <w:szCs w:val="20"/>
                <w:color w:val="auto"/>
              </w:rPr>
            </w:pPr>
            <w:r>
              <w:rPr>
                <w:rFonts w:ascii="Arial" w:cs="Arial" w:eastAsia="Arial" w:hAnsi="Arial"/>
                <w:sz w:val="18"/>
                <w:szCs w:val="18"/>
                <w:color w:val="0000FF"/>
              </w:rPr>
              <w:t>Properties</w:t>
            </w:r>
          </w:p>
        </w:tc>
        <w:tc>
          <w:tcPr>
            <w:tcW w:w="7620" w:type="dxa"/>
            <w:vAlign w:val="bottom"/>
            <w:gridSpan w:val="21"/>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Item 3.</w:t>
            </w:r>
          </w:p>
        </w:tc>
        <w:tc>
          <w:tcPr>
            <w:tcW w:w="520" w:type="dxa"/>
            <w:vAlign w:val="bottom"/>
            <w:gridSpan w:val="2"/>
          </w:tcPr>
          <w:p>
            <w:pPr>
              <w:spacing w:after="0"/>
              <w:rPr>
                <w:sz w:val="18"/>
                <w:szCs w:val="18"/>
                <w:color w:val="auto"/>
              </w:rPr>
            </w:pPr>
          </w:p>
        </w:tc>
        <w:tc>
          <w:tcPr>
            <w:tcW w:w="1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8320" w:type="dxa"/>
            <w:vAlign w:val="bottom"/>
            <w:gridSpan w:val="25"/>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gridSpan w:val="5"/>
          </w:tcPr>
          <w:p>
            <w:pPr>
              <w:spacing w:after="0"/>
              <w:rPr>
                <w:sz w:val="20"/>
                <w:szCs w:val="20"/>
                <w:color w:val="auto"/>
              </w:rPr>
            </w:pPr>
            <w:r>
              <w:rPr>
                <w:rFonts w:ascii="Arial" w:cs="Arial" w:eastAsia="Arial" w:hAnsi="Arial"/>
                <w:sz w:val="18"/>
                <w:szCs w:val="18"/>
                <w:color w:val="0000FF"/>
              </w:rPr>
              <w:t>Item 4.</w:t>
            </w:r>
          </w:p>
        </w:tc>
        <w:tc>
          <w:tcPr>
            <w:tcW w:w="966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color w:val="0000FF"/>
                <w:w w:val="94"/>
              </w:rPr>
              <w:t>Part II.</w:t>
            </w:r>
          </w:p>
        </w:tc>
        <w:tc>
          <w:tcPr>
            <w:tcW w:w="486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540" w:type="dxa"/>
            <w:vAlign w:val="bottom"/>
            <w:gridSpan w:val="3"/>
          </w:tcPr>
          <w:p>
            <w:pPr>
              <w:spacing w:after="0"/>
              <w:rPr>
                <w:sz w:val="18"/>
                <w:szCs w:val="18"/>
                <w:color w:val="auto"/>
              </w:rPr>
            </w:pPr>
          </w:p>
        </w:tc>
        <w:tc>
          <w:tcPr>
            <w:tcW w:w="8080" w:type="dxa"/>
            <w:vAlign w:val="bottom"/>
            <w:gridSpan w:val="31"/>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580" w:type="dxa"/>
            <w:vAlign w:val="bottom"/>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6</w:t>
            </w:r>
            <w:r>
              <w:rPr>
                <w:rFonts w:ascii="Arial" w:cs="Arial" w:eastAsia="Arial" w:hAnsi="Arial"/>
                <w:sz w:val="18"/>
                <w:szCs w:val="18"/>
                <w:color w:val="000000"/>
                <w:w w:val="90"/>
              </w:rPr>
              <w:t>.</w:t>
            </w:r>
          </w:p>
        </w:tc>
        <w:tc>
          <w:tcPr>
            <w:tcW w:w="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80" w:type="dxa"/>
            <w:vAlign w:val="bottom"/>
            <w:gridSpan w:val="31"/>
          </w:tcPr>
          <w:p>
            <w:pPr>
              <w:spacing w:after="0"/>
              <w:rPr>
                <w:sz w:val="20"/>
                <w:szCs w:val="20"/>
                <w:color w:val="auto"/>
              </w:rPr>
            </w:pPr>
            <w:r>
              <w:rPr>
                <w:rFonts w:ascii="Arial" w:cs="Arial" w:eastAsia="Arial" w:hAnsi="Arial"/>
                <w:sz w:val="18"/>
                <w:szCs w:val="18"/>
                <w:color w:val="0000FF"/>
              </w:rPr>
              <w:t>[Reserved]</w:t>
            </w:r>
          </w:p>
        </w:tc>
        <w:tc>
          <w:tcPr>
            <w:tcW w:w="1580" w:type="dxa"/>
            <w:vAlign w:val="bottom"/>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Item 7.</w:t>
            </w:r>
          </w:p>
        </w:tc>
        <w:tc>
          <w:tcPr>
            <w:tcW w:w="520" w:type="dxa"/>
            <w:vAlign w:val="bottom"/>
            <w:gridSpan w:val="2"/>
          </w:tcPr>
          <w:p>
            <w:pPr>
              <w:spacing w:after="0"/>
              <w:rPr>
                <w:sz w:val="18"/>
                <w:szCs w:val="18"/>
                <w:color w:val="auto"/>
              </w:rPr>
            </w:pPr>
          </w:p>
        </w:tc>
        <w:tc>
          <w:tcPr>
            <w:tcW w:w="646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200" w:type="dxa"/>
            <w:vAlign w:val="bottom"/>
            <w:gridSpan w:val="4"/>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7A.</w:t>
            </w:r>
          </w:p>
        </w:tc>
        <w:tc>
          <w:tcPr>
            <w:tcW w:w="43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300" w:type="dxa"/>
            <w:vAlign w:val="bottom"/>
            <w:gridSpan w:val="11"/>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3"/>
          </w:tcPr>
          <w:p>
            <w:pPr>
              <w:spacing w:after="0"/>
              <w:rPr>
                <w:sz w:val="20"/>
                <w:szCs w:val="20"/>
                <w:color w:val="auto"/>
              </w:rPr>
            </w:pPr>
            <w:r>
              <w:rPr>
                <w:rFonts w:ascii="Arial" w:cs="Arial" w:eastAsia="Arial" w:hAnsi="Arial"/>
                <w:sz w:val="18"/>
                <w:szCs w:val="18"/>
                <w:color w:val="0000FF"/>
                <w:w w:val="90"/>
              </w:rPr>
              <w:t>Item 8.</w:t>
            </w:r>
          </w:p>
        </w:tc>
        <w:tc>
          <w:tcPr>
            <w:tcW w:w="520" w:type="dxa"/>
            <w:vAlign w:val="bottom"/>
            <w:gridSpan w:val="2"/>
          </w:tcPr>
          <w:p>
            <w:pPr>
              <w:spacing w:after="0"/>
              <w:rPr>
                <w:sz w:val="18"/>
                <w:szCs w:val="18"/>
                <w:color w:val="auto"/>
              </w:rPr>
            </w:pPr>
          </w:p>
        </w:tc>
        <w:tc>
          <w:tcPr>
            <w:tcW w:w="9660" w:type="dxa"/>
            <w:vAlign w:val="bottom"/>
            <w:gridSpan w:val="32"/>
          </w:tcPr>
          <w:p>
            <w:pPr>
              <w:spacing w:after="0"/>
              <w:rPr>
                <w:sz w:val="20"/>
                <w:szCs w:val="20"/>
                <w:color w:val="auto"/>
              </w:rPr>
            </w:pPr>
            <w:r>
              <w:rPr>
                <w:rFonts w:ascii="Arial" w:cs="Arial" w:eastAsia="Arial" w:hAnsi="Arial"/>
                <w:sz w:val="18"/>
                <w:szCs w:val="18"/>
                <w:color w:val="0000FF"/>
              </w:rPr>
              <w:t>Financial Statements and Supplementary Data</w:t>
            </w:r>
          </w:p>
        </w:tc>
        <w:tc>
          <w:tcPr>
            <w:tcW w:w="280" w:type="dxa"/>
            <w:vAlign w:val="bottom"/>
            <w:gridSpan w:val="3"/>
          </w:tcPr>
          <w:p>
            <w:pPr>
              <w:jc w:val="center"/>
              <w:ind w:left="10"/>
              <w:spacing w:after="0"/>
              <w:rPr>
                <w:sz w:val="20"/>
                <w:szCs w:val="20"/>
                <w:color w:val="auto"/>
              </w:rPr>
            </w:pPr>
            <w:r>
              <w:rPr>
                <w:rFonts w:ascii="Arial" w:cs="Arial" w:eastAsia="Arial" w:hAnsi="Arial"/>
                <w:sz w:val="18"/>
                <w:szCs w:val="18"/>
                <w:color w:val="0000FF"/>
                <w:w w:val="89"/>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spacing w:after="0"/>
              <w:rPr>
                <w:sz w:val="20"/>
                <w:szCs w:val="20"/>
                <w:color w:val="auto"/>
              </w:rPr>
            </w:pPr>
            <w:r>
              <w:rPr>
                <w:rFonts w:ascii="Arial" w:cs="Arial" w:eastAsia="Arial" w:hAnsi="Arial"/>
                <w:sz w:val="18"/>
                <w:szCs w:val="18"/>
                <w:color w:val="0000FF"/>
                <w:w w:val="90"/>
              </w:rPr>
              <w:t>Item 9.</w:t>
            </w:r>
          </w:p>
        </w:tc>
        <w:tc>
          <w:tcPr>
            <w:tcW w:w="520" w:type="dxa"/>
            <w:vAlign w:val="bottom"/>
            <w:gridSpan w:val="2"/>
          </w:tcPr>
          <w:p>
            <w:pPr>
              <w:spacing w:after="0"/>
              <w:rPr>
                <w:sz w:val="18"/>
                <w:szCs w:val="18"/>
                <w:color w:val="auto"/>
              </w:rPr>
            </w:pPr>
          </w:p>
        </w:tc>
        <w:tc>
          <w:tcPr>
            <w:tcW w:w="9660" w:type="dxa"/>
            <w:vAlign w:val="bottom"/>
            <w:gridSpan w:val="3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134</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9A.</w:t>
            </w:r>
          </w:p>
        </w:tc>
        <w:tc>
          <w:tcPr>
            <w:tcW w:w="42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Arial" w:cs="Arial" w:eastAsia="Arial" w:hAnsi="Arial"/>
                <w:sz w:val="18"/>
                <w:szCs w:val="18"/>
                <w:color w:val="0000FF"/>
              </w:rPr>
              <w:t>Controls and Procedures</w:t>
            </w: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135</w:t>
            </w:r>
          </w:p>
        </w:tc>
        <w:tc>
          <w:tcPr>
            <w:tcW w:w="0" w:type="dxa"/>
            <w:vAlign w:val="bottom"/>
          </w:tcPr>
          <w:p>
            <w:pPr>
              <w:spacing w:after="0"/>
              <w:rPr>
                <w:sz w:val="1"/>
                <w:szCs w:val="1"/>
                <w:color w:val="auto"/>
              </w:rPr>
            </w:pPr>
          </w:p>
        </w:tc>
      </w:tr>
      <w:tr>
        <w:trPr>
          <w:trHeight w:val="210"/>
        </w:trPr>
        <w:tc>
          <w:tcPr>
            <w:tcW w:w="6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Item 9B.</w:t>
            </w:r>
          </w:p>
        </w:tc>
        <w:tc>
          <w:tcPr>
            <w:tcW w:w="42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7900" w:type="dxa"/>
            <w:vAlign w:val="bottom"/>
            <w:gridSpan w:val="23"/>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Item 9C.</w:t>
            </w:r>
          </w:p>
        </w:tc>
        <w:tc>
          <w:tcPr>
            <w:tcW w:w="420" w:type="dxa"/>
            <w:vAlign w:val="bottom"/>
          </w:tcPr>
          <w:p>
            <w:pPr>
              <w:spacing w:after="0"/>
              <w:rPr>
                <w:sz w:val="18"/>
                <w:szCs w:val="18"/>
                <w:color w:val="auto"/>
              </w:rPr>
            </w:pPr>
          </w:p>
        </w:tc>
        <w:tc>
          <w:tcPr>
            <w:tcW w:w="49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76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0000FF"/>
            </w:tcBorders>
            <w:gridSpan w:val="8"/>
          </w:tcPr>
          <w:p>
            <w:pPr>
              <w:jc w:val="center"/>
              <w:ind w:right="20"/>
              <w:spacing w:after="0"/>
              <w:rPr>
                <w:sz w:val="20"/>
                <w:szCs w:val="20"/>
                <w:color w:val="auto"/>
              </w:rPr>
            </w:pPr>
            <w:r>
              <w:rPr>
                <w:rFonts w:ascii="Arial" w:cs="Arial" w:eastAsia="Arial" w:hAnsi="Arial"/>
                <w:sz w:val="18"/>
                <w:szCs w:val="18"/>
                <w:color w:val="0000FF"/>
                <w:w w:val="96"/>
              </w:rPr>
              <w:t>Part III.</w:t>
            </w:r>
          </w:p>
        </w:tc>
        <w:tc>
          <w:tcPr>
            <w:tcW w:w="48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gridSpan w:val="5"/>
          </w:tcPr>
          <w:p>
            <w:pPr>
              <w:spacing w:after="0"/>
              <w:rPr>
                <w:sz w:val="20"/>
                <w:szCs w:val="20"/>
                <w:color w:val="auto"/>
              </w:rPr>
            </w:pPr>
            <w:r>
              <w:rPr>
                <w:rFonts w:ascii="Arial" w:cs="Arial" w:eastAsia="Arial" w:hAnsi="Arial"/>
                <w:sz w:val="18"/>
                <w:szCs w:val="18"/>
                <w:color w:val="0000FF"/>
              </w:rPr>
              <w:t>Item 10.</w:t>
            </w:r>
          </w:p>
        </w:tc>
        <w:tc>
          <w:tcPr>
            <w:tcW w:w="9660" w:type="dxa"/>
            <w:vAlign w:val="bottom"/>
            <w:gridSpan w:val="32"/>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141</w:t>
            </w:r>
          </w:p>
        </w:tc>
        <w:tc>
          <w:tcPr>
            <w:tcW w:w="0" w:type="dxa"/>
            <w:vAlign w:val="bottom"/>
          </w:tcPr>
          <w:p>
            <w:pPr>
              <w:spacing w:after="0"/>
              <w:rPr>
                <w:sz w:val="1"/>
                <w:szCs w:val="1"/>
                <w:color w:val="auto"/>
              </w:rPr>
            </w:pPr>
          </w:p>
        </w:tc>
      </w:tr>
      <w:tr>
        <w:trPr>
          <w:trHeight w:val="210"/>
        </w:trPr>
        <w:tc>
          <w:tcPr>
            <w:tcW w:w="5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76"/>
              </w:rPr>
              <w:t>Item 11.</w:t>
            </w:r>
          </w:p>
        </w:tc>
        <w:tc>
          <w:tcPr>
            <w:tcW w:w="520" w:type="dxa"/>
            <w:vAlign w:val="bottom"/>
            <w:gridSpan w:val="2"/>
          </w:tcPr>
          <w:p>
            <w:pPr>
              <w:spacing w:after="0"/>
              <w:rPr>
                <w:sz w:val="18"/>
                <w:szCs w:val="18"/>
                <w:color w:val="auto"/>
              </w:rPr>
            </w:pPr>
          </w:p>
        </w:tc>
        <w:tc>
          <w:tcPr>
            <w:tcW w:w="41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Executive Compensation</w:t>
            </w:r>
          </w:p>
        </w:tc>
        <w:tc>
          <w:tcPr>
            <w:tcW w:w="5560" w:type="dxa"/>
            <w:vAlign w:val="bottom"/>
            <w:gridSpan w:val="16"/>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Arial" w:cs="Arial" w:eastAsia="Arial" w:hAnsi="Arial"/>
                <w:sz w:val="15"/>
                <w:szCs w:val="15"/>
                <w:color w:val="0000FF"/>
                <w:w w:val="71"/>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5"/>
          </w:tcPr>
          <w:p>
            <w:pPr>
              <w:spacing w:after="0"/>
              <w:rPr>
                <w:sz w:val="20"/>
                <w:szCs w:val="20"/>
                <w:color w:val="auto"/>
              </w:rPr>
            </w:pPr>
            <w:r>
              <w:rPr>
                <w:rFonts w:ascii="Arial" w:cs="Arial" w:eastAsia="Arial" w:hAnsi="Arial"/>
                <w:sz w:val="18"/>
                <w:szCs w:val="18"/>
                <w:color w:val="0000FF"/>
              </w:rPr>
              <w:t>Item 12.</w:t>
            </w:r>
          </w:p>
        </w:tc>
        <w:tc>
          <w:tcPr>
            <w:tcW w:w="966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143</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5"/>
          </w:tcPr>
          <w:p>
            <w:pPr>
              <w:spacing w:after="0"/>
              <w:rPr>
                <w:sz w:val="20"/>
                <w:szCs w:val="20"/>
                <w:color w:val="auto"/>
              </w:rPr>
            </w:pPr>
            <w:r>
              <w:rPr>
                <w:rFonts w:ascii="Arial" w:cs="Arial" w:eastAsia="Arial" w:hAnsi="Arial"/>
                <w:sz w:val="18"/>
                <w:szCs w:val="18"/>
                <w:color w:val="0000FF"/>
              </w:rPr>
              <w:t>Item 13.</w:t>
            </w:r>
          </w:p>
        </w:tc>
        <w:tc>
          <w:tcPr>
            <w:tcW w:w="9660" w:type="dxa"/>
            <w:vAlign w:val="bottom"/>
            <w:gridSpan w:val="3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144</w:t>
            </w:r>
          </w:p>
        </w:tc>
        <w:tc>
          <w:tcPr>
            <w:tcW w:w="0" w:type="dxa"/>
            <w:vAlign w:val="bottom"/>
          </w:tcPr>
          <w:p>
            <w:pPr>
              <w:spacing w:after="0"/>
              <w:rPr>
                <w:sz w:val="1"/>
                <w:szCs w:val="1"/>
                <w:color w:val="auto"/>
              </w:rPr>
            </w:pPr>
          </w:p>
        </w:tc>
      </w:tr>
      <w:tr>
        <w:trPr>
          <w:trHeight w:val="210"/>
        </w:trPr>
        <w:tc>
          <w:tcPr>
            <w:tcW w:w="10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Item 14.</w:t>
            </w:r>
          </w:p>
        </w:tc>
        <w:tc>
          <w:tcPr>
            <w:tcW w:w="544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Principal Accountant Fees and Services</w:t>
            </w:r>
          </w:p>
        </w:tc>
        <w:tc>
          <w:tcPr>
            <w:tcW w:w="4220" w:type="dxa"/>
            <w:vAlign w:val="bottom"/>
            <w:gridSpan w:val="5"/>
          </w:tcPr>
          <w:p>
            <w:pPr>
              <w:spacing w:after="0"/>
              <w:rPr>
                <w:sz w:val="18"/>
                <w:szCs w:val="18"/>
                <w:color w:val="auto"/>
              </w:rPr>
            </w:pP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145</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15"/>
          </w:tcPr>
          <w:p>
            <w:pPr>
              <w:jc w:val="center"/>
              <w:ind w:right="4820"/>
              <w:spacing w:after="0"/>
              <w:rPr>
                <w:sz w:val="20"/>
                <w:szCs w:val="20"/>
                <w:color w:val="auto"/>
              </w:rPr>
            </w:pPr>
            <w:r>
              <w:rPr>
                <w:rFonts w:ascii="Arial" w:cs="Arial" w:eastAsia="Arial" w:hAnsi="Arial"/>
                <w:sz w:val="18"/>
                <w:szCs w:val="18"/>
                <w:color w:val="0000FF"/>
                <w:w w:val="89"/>
              </w:rPr>
              <w:t>Part IV.</w:t>
            </w: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gridSpan w:val="5"/>
          </w:tcPr>
          <w:p>
            <w:pPr>
              <w:spacing w:after="0"/>
              <w:rPr>
                <w:sz w:val="20"/>
                <w:szCs w:val="20"/>
                <w:color w:val="auto"/>
              </w:rPr>
            </w:pPr>
            <w:r>
              <w:rPr>
                <w:rFonts w:ascii="Arial" w:cs="Arial" w:eastAsia="Arial" w:hAnsi="Arial"/>
                <w:sz w:val="18"/>
                <w:szCs w:val="18"/>
                <w:color w:val="0000FF"/>
              </w:rPr>
              <w:t>Item 15.</w:t>
            </w:r>
          </w:p>
        </w:tc>
        <w:tc>
          <w:tcPr>
            <w:tcW w:w="4280" w:type="dxa"/>
            <w:vAlign w:val="bottom"/>
            <w:gridSpan w:val="18"/>
          </w:tcPr>
          <w:p>
            <w:pPr>
              <w:spacing w:after="0"/>
              <w:rPr>
                <w:sz w:val="20"/>
                <w:szCs w:val="20"/>
                <w:color w:val="auto"/>
              </w:rPr>
            </w:pPr>
            <w:r>
              <w:rPr>
                <w:rFonts w:ascii="Arial" w:cs="Arial" w:eastAsia="Arial" w:hAnsi="Arial"/>
                <w:sz w:val="18"/>
                <w:szCs w:val="18"/>
                <w:color w:val="0000FF"/>
              </w:rPr>
              <w:t>Exhibits and Financial Statement Schedules</w:t>
            </w:r>
          </w:p>
        </w:tc>
        <w:tc>
          <w:tcPr>
            <w:tcW w:w="540" w:type="dxa"/>
            <w:vAlign w:val="bottom"/>
            <w:tcBorders>
              <w:top w:val="single" w:sz="8" w:color="0000FF"/>
            </w:tcBorders>
            <w:gridSpan w:val="6"/>
          </w:tcPr>
          <w:p>
            <w:pPr>
              <w:spacing w:after="0"/>
              <w:rPr>
                <w:sz w:val="18"/>
                <w:szCs w:val="18"/>
                <w:color w:val="auto"/>
              </w:rPr>
            </w:pPr>
          </w:p>
        </w:tc>
        <w:tc>
          <w:tcPr>
            <w:tcW w:w="4840" w:type="dxa"/>
            <w:vAlign w:val="bottom"/>
            <w:gridSpan w:val="8"/>
          </w:tcPr>
          <w:p>
            <w:pPr>
              <w:spacing w:after="0"/>
              <w:rPr>
                <w:sz w:val="18"/>
                <w:szCs w:val="18"/>
                <w:color w:val="auto"/>
              </w:rPr>
            </w:pP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146</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5"/>
          </w:tcPr>
          <w:p>
            <w:pPr>
              <w:spacing w:after="0"/>
              <w:rPr>
                <w:sz w:val="20"/>
                <w:szCs w:val="20"/>
                <w:color w:val="auto"/>
              </w:rPr>
            </w:pPr>
            <w:r>
              <w:rPr>
                <w:rFonts w:ascii="Arial" w:cs="Arial" w:eastAsia="Arial" w:hAnsi="Arial"/>
                <w:sz w:val="18"/>
                <w:szCs w:val="18"/>
                <w:color w:val="0000FF"/>
              </w:rPr>
              <w:t>Item 16.</w:t>
            </w:r>
          </w:p>
        </w:tc>
        <w:tc>
          <w:tcPr>
            <w:tcW w:w="9660" w:type="dxa"/>
            <w:vAlign w:val="bottom"/>
            <w:gridSpan w:val="32"/>
          </w:tcPr>
          <w:p>
            <w:pPr>
              <w:spacing w:after="0"/>
              <w:rPr>
                <w:sz w:val="20"/>
                <w:szCs w:val="20"/>
                <w:color w:val="auto"/>
              </w:rPr>
            </w:pPr>
            <w:r>
              <w:rPr>
                <w:rFonts w:ascii="Arial" w:cs="Arial" w:eastAsia="Arial" w:hAnsi="Arial"/>
                <w:sz w:val="18"/>
                <w:szCs w:val="18"/>
                <w:color w:val="0000FF"/>
              </w:rPr>
              <w:t>Form 10–K Summary</w:t>
            </w:r>
          </w:p>
        </w:tc>
        <w:tc>
          <w:tcPr>
            <w:tcW w:w="360" w:type="dxa"/>
            <w:vAlign w:val="bottom"/>
            <w:gridSpan w:val="4"/>
          </w:tcPr>
          <w:p>
            <w:pPr>
              <w:jc w:val="center"/>
              <w:spacing w:after="0"/>
              <w:rPr>
                <w:sz w:val="20"/>
                <w:szCs w:val="20"/>
                <w:color w:val="auto"/>
              </w:rPr>
            </w:pPr>
            <w:r>
              <w:rPr>
                <w:rFonts w:ascii="Arial" w:cs="Arial" w:eastAsia="Arial" w:hAnsi="Arial"/>
                <w:sz w:val="18"/>
                <w:szCs w:val="18"/>
                <w:color w:val="0000FF"/>
                <w:w w:val="93"/>
              </w:rPr>
              <w:t>149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1056640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22"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retain existing customers, acquire new customers and expand our customer reach;</w:t>
      </w:r>
    </w:p>
    <w:p>
      <w:pPr>
        <w:spacing w:after="0" w:line="171" w:lineRule="exact"/>
        <w:rPr>
          <w:rFonts w:ascii="Arial" w:cs="Arial" w:eastAsia="Arial" w:hAnsi="Arial"/>
          <w:sz w:val="18"/>
          <w:szCs w:val="18"/>
          <w:color w:val="auto"/>
        </w:rPr>
      </w:pPr>
    </w:p>
    <w:p>
      <w:pPr>
        <w:jc w:val="both"/>
        <w:ind w:left="660" w:right="200" w:hanging="328"/>
        <w:spacing w:after="0" w:line="311" w:lineRule="auto"/>
        <w:tabs>
          <w:tab w:leader="none" w:pos="655" w:val="left"/>
        </w:tabs>
        <w:numPr>
          <w:ilvl w:val="1"/>
          <w:numId w:val="2"/>
        </w:numPr>
        <w:rPr>
          <w:rFonts w:ascii="Arial" w:cs="Arial" w:eastAsia="Arial" w:hAnsi="Arial"/>
          <w:sz w:val="16"/>
          <w:szCs w:val="16"/>
          <w:color w:val="auto"/>
        </w:rPr>
      </w:pPr>
      <w:r>
        <w:rPr>
          <w:rFonts w:ascii="Arial" w:cs="Arial" w:eastAsia="Arial" w:hAnsi="Arial"/>
          <w:sz w:val="16"/>
          <w:szCs w:val="16"/>
          <w:color w:val="auto"/>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gross LAE ratio, gross expense ratio, gross combined ratio, quota share levels and expansion of our new and renewal premium base;</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realize profits, acquire customers, retain customers, contract with additional partners to utilize the product, or achieve other benefits from our embedded insurance offering;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expand our distribution channels through additional partnership relationships, digital media and referrals;</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reduce customer acquisition costs and realize other expected benefits related to the partnership with Carvana Group, LLC, or Carvana;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drive a significant long-term competitive advantage through our partnership with Carvana;</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impact of supply chain disruptions, increasing inflation, a recession and/or disruptions to properly functioning financial and capital markets and interest rates on our business and financial condition;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reduce operating losses and extend our capital runway;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goal to be licensed in all states in the United States and the timing of obtaining additional licenses and launching in new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accuracy and efficiency of our telematics and behavioral data, and our ability to gather and leverage additional data;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materially improve retention rates and our ability to realize benefits from retaining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underwrite risks accurately and charge profitable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our business model and improve our capital and marketing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drive improved conversion and decrease the cost of customer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efficiently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improve our product offerings, introduce new products and expand into additional insurance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cross sell our products and attain greater value from each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lack of operating history and ability to attain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future performance of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operate a “capital-efficient” business and obtain and maintain reinsurance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3" w:name="page4"/>
    <w:bookmarkEnd w:id="3"/>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economies of scale;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governmental responses thereto on our business and financial condition;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 or hire personnel, and to offer competitive compensation and benefits;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a vertically integrated customer experience;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products that utilize our telematics to drive better customer satisfaction and retention;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any costs associated therewith;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 autonomous claims experience;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take rate action early and react to changing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meet risk-based capital requirements;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anticipated from our Texas county mutual fronting arrangement;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expand domestically;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impact of litigation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effect of increasing interest rates on our available cash and our ability to maintain compliance with our credit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 over financial reporting and remediate existing deficiencies;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continue to meet Nasdaq listing standards;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“Root,” “the Company,” “we,” “our” and “us” refer to Root, Inc. and its subsidiaries.</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Investing in our Class A common stock involves numerous risks and uncertainties, as more fully described below. You should read these risks before you invest in our Class A common stock. In particular, risks associated with our business include, but are not limited to, the following:</w:t>
      </w:r>
    </w:p>
    <w:p>
      <w:pPr>
        <w:spacing w:after="0" w:line="92" w:lineRule="exact"/>
        <w:rPr>
          <w:sz w:val="20"/>
          <w:szCs w:val="20"/>
          <w:color w:val="auto"/>
        </w:rPr>
      </w:pPr>
    </w:p>
    <w:p>
      <w:pPr>
        <w:ind w:right="40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net losses and could continue to incur substantial net losses in the future. We may not be able to grow or achieve or maintain profitability in the future.</w:t>
      </w:r>
    </w:p>
    <w:p>
      <w:pPr>
        <w:spacing w:after="0" w:line="116" w:lineRule="exact"/>
        <w:rPr>
          <w:rFonts w:ascii="Arial" w:cs="Arial" w:eastAsia="Arial" w:hAnsi="Arial"/>
          <w:sz w:val="18"/>
          <w:szCs w:val="18"/>
          <w:color w:val="auto"/>
        </w:rPr>
      </w:pPr>
    </w:p>
    <w:p>
      <w:pPr>
        <w:ind w:right="80" w:firstLine="8"/>
        <w:spacing w:after="0" w:line="311" w:lineRule="auto"/>
        <w:tabs>
          <w:tab w:leader="none" w:pos="31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lose our existing customers or fail to acquire new customers, including through our embedded insurance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94" w:lineRule="exact"/>
        <w:rPr>
          <w:rFonts w:ascii="Arial" w:cs="Arial" w:eastAsia="Arial" w:hAnsi="Arial"/>
          <w:sz w:val="16"/>
          <w:szCs w:val="16"/>
          <w:color w:val="auto"/>
        </w:rPr>
      </w:pPr>
    </w:p>
    <w:p>
      <w:pPr>
        <w:ind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rFonts w:ascii="Arial" w:cs="Arial" w:eastAsia="Arial" w:hAnsi="Arial"/>
          <w:sz w:val="18"/>
          <w:szCs w:val="18"/>
          <w:color w:val="auto"/>
        </w:rPr>
      </w:pPr>
    </w:p>
    <w:p>
      <w:pPr>
        <w:ind w:right="40" w:firstLine="8"/>
        <w:spacing w:after="0" w:line="263"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maintain an effective embedded insurance product and/or fail to perform under the associated commercial arrangements.</w:t>
      </w:r>
    </w:p>
    <w:p>
      <w:pPr>
        <w:spacing w:after="0" w:line="171" w:lineRule="exact"/>
        <w:rPr>
          <w:rFonts w:ascii="Arial" w:cs="Arial" w:eastAsia="Arial" w:hAnsi="Arial"/>
          <w:sz w:val="18"/>
          <w:szCs w:val="18"/>
          <w:color w:val="auto"/>
        </w:rPr>
      </w:pPr>
    </w:p>
    <w:p>
      <w:pPr>
        <w:ind w:firstLine="8"/>
        <w:spacing w:after="0" w:line="279"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w:t>
      </w:r>
    </w:p>
    <w:p>
      <w:pPr>
        <w:spacing w:after="0" w:line="117" w:lineRule="exact"/>
        <w:rPr>
          <w:rFonts w:ascii="Arial" w:cs="Arial" w:eastAsia="Arial" w:hAnsi="Arial"/>
          <w:sz w:val="17"/>
          <w:szCs w:val="17"/>
          <w:color w:val="auto"/>
        </w:rPr>
      </w:pPr>
    </w:p>
    <w:p>
      <w:pPr>
        <w:ind w:right="60" w:firstLine="8"/>
        <w:spacing w:after="0" w:line="308"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92"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expansion within the United States will subject us to additional regulatory approvals and costs and risks, and our plans may not be successful.</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technology platform may not operate properly or as we expect it to operate.</w:t>
      </w:r>
    </w:p>
    <w:p>
      <w:pPr>
        <w:spacing w:after="0" w:line="171" w:lineRule="exact"/>
        <w:rPr>
          <w:rFonts w:ascii="Arial" w:cs="Arial" w:eastAsia="Arial" w:hAnsi="Arial"/>
          <w:sz w:val="18"/>
          <w:szCs w:val="18"/>
          <w:color w:val="auto"/>
        </w:rPr>
      </w:pPr>
    </w:p>
    <w:p>
      <w:pPr>
        <w:ind w:right="4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Regulators may limit our ability to develop or implement our telematics-based pricing model and/or may eliminate or restrict the confidentiality of our proprietary technology.</w:t>
      </w:r>
    </w:p>
    <w:p>
      <w:pPr>
        <w:spacing w:after="0" w:line="116" w:lineRule="exact"/>
        <w:rPr>
          <w:rFonts w:ascii="Arial" w:cs="Arial" w:eastAsia="Arial" w:hAnsi="Arial"/>
          <w:sz w:val="18"/>
          <w:szCs w:val="18"/>
          <w:color w:val="auto"/>
        </w:rPr>
      </w:pPr>
    </w:p>
    <w:p>
      <w:pPr>
        <w:ind w:right="480" w:firstLine="8"/>
        <w:spacing w:after="0" w:line="308" w:lineRule="auto"/>
        <w:tabs>
          <w:tab w:leader="none" w:pos="31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full scope financial examinations by state insurance regulatory authorities in each state in which one of our domestic insurance company subsidiaries is domiciled, which could result in adverse examination findings and necessitate remedial actions.</w:t>
      </w:r>
    </w:p>
    <w:p>
      <w:pPr>
        <w:spacing w:after="0" w:line="92" w:lineRule="exact"/>
        <w:rPr>
          <w:rFonts w:ascii="Arial" w:cs="Arial" w:eastAsia="Arial" w:hAnsi="Arial"/>
          <w:sz w:val="17"/>
          <w:szCs w:val="17"/>
          <w:color w:val="auto"/>
        </w:rPr>
      </w:pPr>
    </w:p>
    <w:p>
      <w:pPr>
        <w:ind w:right="20" w:firstLine="8"/>
        <w:spacing w:after="0" w:line="277"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market conduct examinations by state insurance regulatory authorities in any state in which our domestic insurance subsidiaries issue insurance policies, which could result in adverse examination findings and necessitate remedial actions.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exposure to loss activity and regulation may be greater in states where we currently have most of our customers: Texas, Georgia and Colorado.</w:t>
      </w:r>
    </w:p>
    <w:p>
      <w:pPr>
        <w:spacing w:after="0" w:line="194" w:lineRule="exact"/>
        <w:rPr>
          <w:rFonts w:ascii="Arial" w:cs="Arial" w:eastAsia="Arial" w:hAnsi="Arial"/>
          <w:sz w:val="16"/>
          <w:szCs w:val="16"/>
          <w:color w:val="auto"/>
        </w:rPr>
      </w:pPr>
    </w:p>
    <w:p>
      <w:pPr>
        <w:ind w:right="140" w:firstLine="8"/>
        <w:spacing w:after="0" w:line="263"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5" w:name="page6"/>
    <w:bookmarkEnd w:id="5"/>
    <w:p>
      <w:pPr>
        <w:ind w:left="-8" w:right="560" w:firstLine="8"/>
        <w:spacing w:after="0" w:line="342" w:lineRule="auto"/>
        <w:tabs>
          <w:tab w:leader="none" w:pos="311"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69" w:lineRule="exact"/>
        <w:rPr>
          <w:rFonts w:ascii="Arial" w:cs="Arial" w:eastAsia="Arial" w:hAnsi="Arial"/>
          <w:sz w:val="16"/>
          <w:szCs w:val="16"/>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brand may not become as widely known or accepted as incumbents’ brands or the brand may become tarnished.</w:t>
      </w:r>
    </w:p>
    <w:p>
      <w:pPr>
        <w:spacing w:after="0" w:line="171" w:lineRule="exact"/>
        <w:rPr>
          <w:rFonts w:ascii="Arial" w:cs="Arial" w:eastAsia="Arial" w:hAnsi="Arial"/>
          <w:sz w:val="18"/>
          <w:szCs w:val="18"/>
          <w:color w:val="auto"/>
        </w:rPr>
      </w:pPr>
    </w:p>
    <w:p>
      <w:pPr>
        <w:ind w:left="-8" w:right="240" w:firstLine="8"/>
        <w:spacing w:after="0" w:line="342" w:lineRule="auto"/>
        <w:tabs>
          <w:tab w:leader="none" w:pos="311"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69" w:lineRule="exact"/>
        <w:rPr>
          <w:rFonts w:ascii="Arial" w:cs="Arial" w:eastAsia="Arial" w:hAnsi="Arial"/>
          <w:sz w:val="16"/>
          <w:szCs w:val="16"/>
          <w:color w:val="auto"/>
        </w:rPr>
      </w:pPr>
    </w:p>
    <w:p>
      <w:pPr>
        <w:ind w:left="-8"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legislation or legal requirements may affect how we communicate with our customers, which could have an adverse effect on our business model, financial condition, and results of operations.</w:t>
      </w:r>
    </w:p>
    <w:p>
      <w:pPr>
        <w:spacing w:after="0" w:line="116" w:lineRule="exact"/>
        <w:rPr>
          <w:rFonts w:ascii="Arial" w:cs="Arial" w:eastAsia="Arial" w:hAnsi="Arial"/>
          <w:sz w:val="18"/>
          <w:szCs w:val="18"/>
          <w:color w:val="auto"/>
        </w:rPr>
      </w:pPr>
    </w:p>
    <w:p>
      <w:pPr>
        <w:ind w:left="-8" w:right="26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Denial of claims or our failure to accurately and timely pay claims could materially and adversely affect our business, financial condition, results of operations, and prospects.</w:t>
      </w:r>
    </w:p>
    <w:p>
      <w:pPr>
        <w:spacing w:after="0" w:line="116"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increases in the frequency or severity of claims may adversely affect our results of operations and financial condition.</w:t>
      </w:r>
    </w:p>
    <w:p>
      <w:pPr>
        <w:spacing w:after="0" w:line="171" w:lineRule="exact"/>
        <w:rPr>
          <w:rFonts w:ascii="Arial" w:cs="Arial" w:eastAsia="Arial" w:hAnsi="Arial"/>
          <w:sz w:val="18"/>
          <w:szCs w:val="18"/>
          <w:color w:val="auto"/>
        </w:rPr>
      </w:pPr>
    </w:p>
    <w:p>
      <w:pPr>
        <w:ind w:left="-8" w:right="54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our risk-based capital at the required levels could adversely affect our ability to maintain regulatory authority to conduct our business.</w:t>
      </w:r>
    </w:p>
    <w:p>
      <w:pPr>
        <w:spacing w:after="0" w:line="116" w:lineRule="exact"/>
        <w:rPr>
          <w:rFonts w:ascii="Arial" w:cs="Arial" w:eastAsia="Arial" w:hAnsi="Arial"/>
          <w:sz w:val="18"/>
          <w:szCs w:val="18"/>
          <w:color w:val="auto"/>
        </w:rPr>
      </w:pPr>
    </w:p>
    <w:p>
      <w:pPr>
        <w:ind w:left="-8" w:right="2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prevent, monitor or detect fraudulent activity, including policy acquisitions or payments of claims that are fraudulent in nature, or fraud that may be perpetrated by employees or external parties.</w:t>
      </w:r>
    </w:p>
    <w:p>
      <w:pPr>
        <w:spacing w:after="0" w:line="116" w:lineRule="exact"/>
        <w:rPr>
          <w:rFonts w:ascii="Arial" w:cs="Arial" w:eastAsia="Arial" w:hAnsi="Arial"/>
          <w:sz w:val="18"/>
          <w:szCs w:val="18"/>
          <w:color w:val="auto"/>
        </w:rPr>
      </w:pPr>
    </w:p>
    <w:p>
      <w:pPr>
        <w:ind w:left="-8" w:right="60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our mobile application to execute our business strategy. Government regulation of the internet and the use of mobile applications in particular is evolving, and unfavorable changes could seriously harm our business.</w:t>
      </w:r>
    </w:p>
    <w:p>
      <w:pPr>
        <w:spacing w:after="0" w:line="116"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rights are valuable, and any inability to protect them could reduce the value of our products, services and brand.</w:t>
      </w:r>
    </w:p>
    <w:p>
      <w:pPr>
        <w:spacing w:after="0" w:line="171" w:lineRule="exact"/>
        <w:rPr>
          <w:rFonts w:ascii="Arial" w:cs="Arial" w:eastAsia="Arial" w:hAnsi="Arial"/>
          <w:sz w:val="18"/>
          <w:szCs w:val="18"/>
          <w:color w:val="auto"/>
        </w:rPr>
      </w:pPr>
    </w:p>
    <w:p>
      <w:pPr>
        <w:ind w:left="-8" w:right="120" w:firstLine="8"/>
        <w:spacing w:after="0" w:line="263"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and legal proceedings filed by or against us and our subsidiaries, including shareholder litigation related to the initial public offering, could have a material adverse effect on our business, results of operations and financial condition, and may divert management’s attention and resources away from our business.</w:t>
      </w:r>
    </w:p>
    <w:p>
      <w:pPr>
        <w:spacing w:after="0" w:line="129" w:lineRule="exact"/>
        <w:rPr>
          <w:rFonts w:ascii="Arial" w:cs="Arial" w:eastAsia="Arial" w:hAnsi="Arial"/>
          <w:sz w:val="18"/>
          <w:szCs w:val="18"/>
          <w:color w:val="auto"/>
        </w:rPr>
      </w:pPr>
    </w:p>
    <w:p>
      <w:pPr>
        <w:ind w:left="312" w:hanging="312"/>
        <w:spacing w:after="0"/>
        <w:tabs>
          <w:tab w:leader="none" w:pos="3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 forwards may be limited.</w:t>
      </w:r>
    </w:p>
    <w:p>
      <w:pPr>
        <w:spacing w:after="0" w:line="171" w:lineRule="exact"/>
        <w:rPr>
          <w:rFonts w:ascii="Arial" w:cs="Arial" w:eastAsia="Arial" w:hAnsi="Arial"/>
          <w:sz w:val="18"/>
          <w:szCs w:val="18"/>
          <w:color w:val="auto"/>
        </w:rPr>
      </w:pPr>
    </w:p>
    <w:p>
      <w:pPr>
        <w:ind w:left="-8" w:right="640" w:firstLine="8"/>
        <w:spacing w:after="0" w:line="308" w:lineRule="auto"/>
        <w:tabs>
          <w:tab w:leader="none" w:pos="31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92" w:lineRule="exact"/>
        <w:rPr>
          <w:rFonts w:ascii="Arial" w:cs="Arial" w:eastAsia="Arial" w:hAnsi="Arial"/>
          <w:sz w:val="17"/>
          <w:szCs w:val="17"/>
          <w:color w:val="auto"/>
        </w:rPr>
      </w:pPr>
    </w:p>
    <w:p>
      <w:pPr>
        <w:ind w:left="-8" w:right="40" w:firstLine="8"/>
        <w:spacing w:after="0" w:line="263"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may be unavailable at current levels and prices, which may limit our ability to underwrite new policies. Furthermore, reinsurance subjects us to counterparty risk and may not be adequate to protect us against losses, which could have an adverse effect on our results of operations and financial condition.</w:t>
      </w:r>
    </w:p>
    <w:p>
      <w:pPr>
        <w:spacing w:after="0" w:line="129" w:lineRule="exact"/>
        <w:rPr>
          <w:rFonts w:ascii="Arial" w:cs="Arial" w:eastAsia="Arial" w:hAnsi="Arial"/>
          <w:sz w:val="18"/>
          <w:szCs w:val="18"/>
          <w:color w:val="auto"/>
        </w:rPr>
      </w:pPr>
    </w:p>
    <w:p>
      <w:pPr>
        <w:ind w:left="-8" w:right="8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Reinsurance subjects us to risks of our reinsurers and may not be adequate to protect us against losses arising from ceded insurance, which could have an adverse effect on our results of operations and financial condition.</w:t>
      </w:r>
    </w:p>
    <w:p>
      <w:pPr>
        <w:spacing w:after="0" w:line="116" w:lineRule="exact"/>
        <w:rPr>
          <w:rFonts w:ascii="Arial" w:cs="Arial" w:eastAsia="Arial" w:hAnsi="Arial"/>
          <w:sz w:val="18"/>
          <w:szCs w:val="18"/>
          <w:color w:val="auto"/>
        </w:rPr>
      </w:pPr>
    </w:p>
    <w:p>
      <w:pPr>
        <w:ind w:left="-8" w:right="20" w:firstLine="8"/>
        <w:spacing w:after="0" w:line="259"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Agreement includes a floating interest rate that exposes us to interest rate risk, and the terms of our Credit Agreement place restrictions on our operating and financial flexibility. Our failure to comply with covenants contained in the Credit Agreement may result in acceleration of our repayment obligations, which could harm our liquidity, financial condition, operating results, business and prospects and cause the price of our Class A common stock to decline.</w:t>
      </w:r>
    </w:p>
    <w:p>
      <w:pPr>
        <w:spacing w:after="0" w:line="132" w:lineRule="exact"/>
        <w:rPr>
          <w:rFonts w:ascii="Arial" w:cs="Arial" w:eastAsia="Arial" w:hAnsi="Arial"/>
          <w:sz w:val="18"/>
          <w:szCs w:val="18"/>
          <w:color w:val="auto"/>
        </w:rPr>
      </w:pPr>
    </w:p>
    <w:p>
      <w:pPr>
        <w:ind w:left="-8" w:right="260" w:firstLine="8"/>
        <w:spacing w:after="0" w:line="277"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meet the continued listing requirements of Nasdaq could result in delisting of our Class A common stock, which in turn would negatively affect the price of our Class A common stock and limit investors’ ability to trade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756285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59" w:right="359" w:bottom="1440" w:gutter="0" w:footer="0" w:header="0"/>
        </w:sectPr>
      </w:pPr>
    </w:p>
    <w:bookmarkStart w:id="6" w:name="page7"/>
    <w:bookmarkEnd w:id="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Root is a tech-enabled insurance company revolutionizing personal insurance with a pricing model based upon fairness and a modern customer experience, and an embedded experience that can be integrated seamlessly into tech-enabled platforms meeting the customer where they are. We operate primarily a direct-to-consumer model in which currently we acquire the majority of our customers through mobile applications. We are also focused on expanding our embedded insurance platform, where we acquire customers through strategic partnerships.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primary focus is on the U.S. auto insurance market, and we have built a company that recognizes each individual is unique and puts customers in control, rewarding them for their actions. For centuries, traditional insurance companies have grouped people into risk pools and long relied on the ‘law of large numbers’ to produce acceptable pricing on an aggregate basis. Fairness at the individual level has been largely ignored. Root is different—we use technology to measure risk based on individual performance, prioritizing fairness to the customer. The way we design and deliver insurance is not a simple tweak to the traditional insurance model—we are fundamentally reinventing insurance through technology, data science and a maniacal focus on the customer.</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the $273 billion U.S. auto insurance market is ripe for disruption. Traditional methods of pooled risk assessment are not personalized and inherently less precise given individual behavioral data is underutilized or not measured as a component of the insurance risk assessment process. We believe traditional systems and processes have become outdated and are increasingly disconnected from the needs of consumers. Our initial focus on auto insurance was motivated by how well-suited we believe the product to be for fundamental improvement through technology. We believe Root is the innovator to drive this transformation.</w:t>
      </w:r>
    </w:p>
    <w:p>
      <w:pPr>
        <w:spacing w:after="0" w:line="13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Auto insurance is required for the vast majority of drivers in the United States and we believe it is typically the first insurance policy purchased by consumers. As a result, our auto-first strategy establishes the foundation for an expansive lifetime relationship with the opportunity to add other personal insurance lines as customer needs evolve.</w:t>
      </w:r>
    </w:p>
    <w:p>
      <w:pPr>
        <w:spacing w:after="0" w:line="13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believe the Root advantage is derived from our unique ability to efficiently and effectively bind insurance policies quickly, aided by segmenting individual risk based on complex behavioral data and proprietary telematics, a customer experience built for ease of use and a product offering made possible with our full-stack insurance structure. We leverage our technology to develop embedded products that can be integrated with our current and future embedded partners. These are all uniquely integrated into a single cloud-based technology platform that captures the entire insurance value chain.</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full-stack insurance carrier, we have the infrastructure to design products and distribute, underwrite, administer and pay claims on all of our policies. Our model, supported by proprietary technology, allows us to be more adaptive across the value chain, provides complete design and feature discretion and we believe frees us to innovate and iterate more quickly than any of our major competitors. We view this flexibility as absolutely critical to introducing new capabilities, reinforcing customer centricity and driving growth. In practice this means we own and control an end-to-end insurance experience and have near complete operating autonomy, subject to regulation, to grow our business.</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we mature as an insurance company a more significant portion of our premiums are expected to be earned from customer renewals. Renewal premiums, referring to premiums from a customer’s second term and beyond, have lower loss ratios as compared to new premiums in the customer’s first term. We anticipate, consistent with industry norms, that our portfolio will mature and a greater proportion of our premiums will be from customer renewals. We expect this growing proportion of renewal premiums will bring an increasing mix of lower loss ratio premiums and premiums without associated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Insurance is one of the oldest and largest markets in the world, touching every corner of the world and protecting many of our most important assets. Our primary addressable market today is U.S. personal lines insurance. This market exceeded $397 billion in 2021 premiums and has grown at a 4% compound annual growth rate, or CAGR, since 2016.</w:t>
      </w:r>
    </w:p>
    <w:p>
      <w:pPr>
        <w:spacing w:after="0" w:line="13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Over the past century, there have been only a few waves of innovative disruption within insurance. Perhaps the most disruptive was the advent of the internet as a distribution channel in the late 1990s, which redefined the personal auto insurance market. We believe the next technology-driven structural shift is underway—a large secular shift in distribution with embedded insurance and a holistic change in the way insurance is priced and delivered.</w:t>
      </w:r>
    </w:p>
    <w:p>
      <w:pPr>
        <w:spacing w:after="0" w:line="9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believe innovation has been slow within the P&amp;C insurance industry, in part, because legacy systems are difficult to build upon and nearly impossible to replace. Also impacting the pace of innovation is institutional friction generated by the cost and perceived risk of a requisite ground-up technology rebuild, disruption of carrier-agent relationships and the business model implications of replacing broad pool-based pricing. Our proprietary technology and business model allow us to avoid these pain points and aggressively pursue the opportunity to be at the forefront of this structural shift.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Experience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strive to meet customers where they are with a user-friendly interface and convenient, efficient experience. This is the mantra that drives our mobile engagement strategy and underpins both our user experience and our fundamental business model. App installation and initial engagement are designed to be intuitive so that customers can easily identify the coverage they need in everyday language, including offering bundling options which clearly lay out associated cost savings.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mobile engagement extends across the customer experience and value chain:</w:t>
      </w:r>
    </w:p>
    <w:p>
      <w:pPr>
        <w:spacing w:after="0" w:line="17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Engagement. </w:t>
      </w:r>
      <w:r>
        <w:rPr>
          <w:rFonts w:ascii="Arial" w:cs="Arial" w:eastAsia="Arial" w:hAnsi="Arial"/>
          <w:sz w:val="17"/>
          <w:szCs w:val="17"/>
          <w:color w:val="auto"/>
        </w:rPr>
        <w:t>Many of our new customers come through our digital or embedded channels, which are largely mobile. We continue to diversify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ways we reach our customers. We believe meeting customers in the moment of need creates better customer engagement and yields better business results.</w:t>
      </w:r>
    </w:p>
    <w:p>
      <w:pPr>
        <w:spacing w:after="0" w:line="179" w:lineRule="exact"/>
        <w:rPr>
          <w:rFonts w:ascii="Arial" w:cs="Arial" w:eastAsia="Arial" w:hAnsi="Arial"/>
          <w:sz w:val="17"/>
          <w:szCs w:val="17"/>
          <w:color w:val="auto"/>
        </w:rPr>
      </w:pPr>
    </w:p>
    <w:p>
      <w:pPr>
        <w:ind w:right="220" w:firstLine="8"/>
        <w:spacing w:after="0" w:line="263"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Profile Creation. </w:t>
      </w:r>
      <w:r>
        <w:rPr>
          <w:rFonts w:ascii="Arial" w:cs="Arial" w:eastAsia="Arial" w:hAnsi="Arial"/>
          <w:sz w:val="18"/>
          <w:szCs w:val="18"/>
          <w:color w:val="auto"/>
        </w:rPr>
        <w:t>The Root app is available for both iOS and Android operating systems making it available to 99% of U.S. smartphone users. By</w:t>
      </w:r>
      <w:r>
        <w:rPr>
          <w:rFonts w:ascii="Arial" w:cs="Arial" w:eastAsia="Arial" w:hAnsi="Arial"/>
          <w:sz w:val="18"/>
          <w:szCs w:val="18"/>
          <w:i w:val="1"/>
          <w:iCs w:val="1"/>
          <w:color w:val="auto"/>
        </w:rPr>
        <w:t xml:space="preserve"> </w:t>
      </w:r>
      <w:r>
        <w:rPr>
          <w:rFonts w:ascii="Arial" w:cs="Arial" w:eastAsia="Arial" w:hAnsi="Arial"/>
          <w:sz w:val="18"/>
          <w:szCs w:val="18"/>
          <w:color w:val="auto"/>
        </w:rPr>
        <w:t>simply scanning a driver’s license, a prospective customer can nearly complete a profile, part of an on-boarding process that is possible to complete in as little as 47 seconds and with no keyboard interaction.</w:t>
      </w:r>
    </w:p>
    <w:p>
      <w:pPr>
        <w:spacing w:after="0" w:line="129" w:lineRule="exact"/>
        <w:rPr>
          <w:rFonts w:ascii="Arial" w:cs="Arial" w:eastAsia="Arial" w:hAnsi="Arial"/>
          <w:sz w:val="18"/>
          <w:szCs w:val="18"/>
          <w:color w:val="auto"/>
        </w:rPr>
      </w:pPr>
    </w:p>
    <w:p>
      <w:pPr>
        <w:ind w:right="540" w:firstLine="8"/>
        <w:spacing w:after="0" w:line="308"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Embedded. </w:t>
      </w:r>
      <w:r>
        <w:rPr>
          <w:rFonts w:ascii="Arial" w:cs="Arial" w:eastAsia="Arial" w:hAnsi="Arial"/>
          <w:sz w:val="17"/>
          <w:szCs w:val="17"/>
          <w:color w:val="auto"/>
        </w:rPr>
        <w:t>Through our embedded channel, we seamlessly integrate our products with our strategic embedded partners, enabling us to offer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at contextually relevant times. Customers are able to quickly purchase policies with minimal additional effort or friction.</w:t>
      </w:r>
    </w:p>
    <w:p>
      <w:pPr>
        <w:spacing w:after="0" w:line="92" w:lineRule="exact"/>
        <w:rPr>
          <w:rFonts w:ascii="Arial" w:cs="Arial" w:eastAsia="Arial" w:hAnsi="Arial"/>
          <w:sz w:val="17"/>
          <w:szCs w:val="17"/>
          <w:color w:val="auto"/>
        </w:rPr>
      </w:pPr>
    </w:p>
    <w:p>
      <w:pPr>
        <w:jc w:val="both"/>
        <w:ind w:firstLine="8"/>
        <w:spacing w:after="0" w:line="286"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w:t>
      </w:r>
      <w:r>
        <w:rPr>
          <w:rFonts w:ascii="Arial" w:cs="Arial" w:eastAsia="Arial" w:hAnsi="Arial"/>
          <w:sz w:val="17"/>
          <w:szCs w:val="17"/>
          <w:color w:val="auto"/>
        </w:rPr>
        <w:t>The test drive is a key component of the underwriting process. A two-to-four week test drive gathers and analyzes data from smartphone</w:t>
      </w:r>
      <w:r>
        <w:rPr>
          <w:rFonts w:ascii="Arial" w:cs="Arial" w:eastAsia="Arial" w:hAnsi="Arial"/>
          <w:sz w:val="17"/>
          <w:szCs w:val="17"/>
          <w:i w:val="1"/>
          <w:iCs w:val="1"/>
          <w:color w:val="auto"/>
        </w:rPr>
        <w:t xml:space="preserve"> </w:t>
      </w:r>
      <w:r>
        <w:rPr>
          <w:rFonts w:ascii="Arial" w:cs="Arial" w:eastAsia="Arial" w:hAnsi="Arial"/>
          <w:sz w:val="17"/>
          <w:szCs w:val="17"/>
          <w:color w:val="auto"/>
        </w:rPr>
        <w:t>sensors measuring braking, consistency, turning, time of day and other performance and contextual data. We are continuing to develop underwriting models and products that vary the level of reliance on telematics and the point at which telematics are used in underwriting.</w:t>
      </w:r>
    </w:p>
    <w:p>
      <w:pPr>
        <w:spacing w:after="0" w:line="111" w:lineRule="exact"/>
        <w:rPr>
          <w:rFonts w:ascii="Arial" w:cs="Arial" w:eastAsia="Arial" w:hAnsi="Arial"/>
          <w:sz w:val="17"/>
          <w:szCs w:val="17"/>
          <w:color w:val="auto"/>
        </w:rPr>
      </w:pPr>
    </w:p>
    <w:p>
      <w:pPr>
        <w:ind w:right="620" w:firstLine="8"/>
        <w:spacing w:after="0" w:line="27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Coverage Selection. </w:t>
      </w:r>
      <w:r>
        <w:rPr>
          <w:rFonts w:ascii="Arial" w:cs="Arial" w:eastAsia="Arial" w:hAnsi="Arial"/>
          <w:sz w:val="18"/>
          <w:szCs w:val="18"/>
          <w:color w:val="auto"/>
        </w:rPr>
        <w:t>As part of profile setup, our app pre-populates with a customer’s owned automobiles and existing or prior coverage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easy and seamless selection of policy terms.</w:t>
      </w:r>
    </w:p>
    <w:p>
      <w:pPr>
        <w:spacing w:after="0" w:line="116" w:lineRule="exact"/>
        <w:rPr>
          <w:rFonts w:ascii="Arial" w:cs="Arial" w:eastAsia="Arial" w:hAnsi="Arial"/>
          <w:sz w:val="18"/>
          <w:szCs w:val="18"/>
          <w:color w:val="auto"/>
        </w:rPr>
      </w:pPr>
    </w:p>
    <w:p>
      <w:pPr>
        <w:ind w:right="380" w:firstLine="8"/>
        <w:spacing w:after="0" w:line="27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Policy Management</w:t>
      </w:r>
      <w:r>
        <w:rPr>
          <w:rFonts w:ascii="Arial" w:cs="Arial" w:eastAsia="Arial" w:hAnsi="Arial"/>
          <w:sz w:val="18"/>
          <w:szCs w:val="18"/>
          <w:color w:val="auto"/>
        </w:rPr>
        <w:t>. Once bound, customers can perform all policy management functions seamlessly from our app, including profile or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obtaining proof of insurance or chatting with a bot or human.</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Claims. </w:t>
      </w:r>
      <w:r>
        <w:rPr>
          <w:rFonts w:ascii="Arial" w:cs="Arial" w:eastAsia="Arial" w:hAnsi="Arial"/>
          <w:sz w:val="17"/>
          <w:szCs w:val="17"/>
          <w:color w:val="auto"/>
        </w:rPr>
        <w:t>We make it easy to file a claim and track processing status through to settlement via the app, allowing us to pay out claims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Auto insurance is a product most people use every day, reinforcing the importance of our mobile-first engagement strategy for both customer experience and data collection.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distribute largely through the mobile, web and embedded channels. Mobile is the fastest growing retail channel in the United States, as customers spend less time in front of computers and utilize smart phones for more convenient shopping. Further, to meet our customers in the marketplace, we are continuing to develop our embedded product that can be integrated with strategic partners. We believe that through a mobile, web and embedded customer acquisition strategy we can deliver attractive customer acquisition costs while meeting customers in the marketplace.</w:t>
      </w:r>
    </w:p>
    <w:p>
      <w:pPr>
        <w:spacing w:after="0" w:line="117" w:lineRule="exact"/>
        <w:rPr>
          <w:sz w:val="20"/>
          <w:szCs w:val="20"/>
          <w:color w:val="auto"/>
        </w:rPr>
      </w:pPr>
    </w:p>
    <w:p>
      <w:pPr>
        <w:ind w:right="200" w:firstLine="8"/>
        <w:spacing w:after="0" w:line="259" w:lineRule="auto"/>
        <w:tabs>
          <w:tab w:leader="none" w:pos="31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Embedded. </w:t>
      </w:r>
      <w:r>
        <w:rPr>
          <w:rFonts w:ascii="Arial" w:cs="Arial" w:eastAsia="Arial" w:hAnsi="Arial"/>
          <w:sz w:val="18"/>
          <w:szCs w:val="18"/>
          <w:color w:val="auto"/>
        </w:rPr>
        <w:t>We build upon the mobile and web customer experiences of distribution partners to reach a captive customer base with an embedded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Through our proprietary and fully-integrated application programming interfaces, or APIs, we are able to engage prospective customers in contextually relevant third-party applications. We expect increased penetration of this channel over time as we seek to grow embedded relationships with other tech-enabled companies, offering access to relevant customer bases.</w:t>
      </w:r>
    </w:p>
    <w:p>
      <w:pPr>
        <w:spacing w:after="0" w:line="132" w:lineRule="exact"/>
        <w:rPr>
          <w:rFonts w:ascii="Arial" w:cs="Arial" w:eastAsia="Arial" w:hAnsi="Arial"/>
          <w:sz w:val="18"/>
          <w:szCs w:val="18"/>
          <w:color w:val="auto"/>
        </w:rPr>
      </w:pPr>
    </w:p>
    <w:p>
      <w:pPr>
        <w:jc w:val="both"/>
        <w:ind w:right="120" w:firstLine="8"/>
        <w:spacing w:after="0" w:line="259" w:lineRule="auto"/>
        <w:tabs>
          <w:tab w:leader="none" w:pos="319"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Digital. </w:t>
      </w:r>
      <w:r>
        <w:rPr>
          <w:rFonts w:ascii="Arial" w:cs="Arial" w:eastAsia="Arial" w:hAnsi="Arial"/>
          <w:sz w:val="18"/>
          <w:szCs w:val="18"/>
          <w:color w:val="auto"/>
        </w:rPr>
        <w:t>Our digital channel is designed to drive volume by efficiently capturing high-intent customers. We accomplish this by meeting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platforms they use extensively such as Facebook and Google or select marketplace platforms where consumers are actively shopping for insurance. We deploy dynamic data science models to optimize targeting and bidding strategies across our digital platforms, aligning customer acquisition cost to expected lifetime value of the potential customer.</w:t>
      </w:r>
    </w:p>
    <w:p>
      <w:pPr>
        <w:spacing w:after="0" w:line="132" w:lineRule="exact"/>
        <w:rPr>
          <w:rFonts w:ascii="Arial" w:cs="Arial" w:eastAsia="Arial" w:hAnsi="Arial"/>
          <w:sz w:val="18"/>
          <w:szCs w:val="18"/>
          <w:i w:val="1"/>
          <w:iCs w:val="1"/>
          <w:color w:val="auto"/>
        </w:rPr>
      </w:pPr>
    </w:p>
    <w:p>
      <w:pPr>
        <w:ind w:right="20" w:firstLine="8"/>
        <w:spacing w:after="0" w:line="263" w:lineRule="auto"/>
        <w:tabs>
          <w:tab w:leader="none" w:pos="31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Channel Media. </w:t>
      </w:r>
      <w:r>
        <w:rPr>
          <w:rFonts w:ascii="Arial" w:cs="Arial" w:eastAsia="Arial" w:hAnsi="Arial"/>
          <w:sz w:val="18"/>
          <w:szCs w:val="18"/>
          <w:color w:val="auto"/>
        </w:rPr>
        <w:t>We build consideration and drive intent through household-level targeted digital media channels such as YouTube and Hulu,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more traditional media channels such as billboards, regional TV and radio and direct mail. We utilize these media channels to drive awareness when launching in new markets and to actively target customers in active states.</w:t>
      </w:r>
    </w:p>
    <w:p>
      <w:pPr>
        <w:spacing w:after="0" w:line="129" w:lineRule="exact"/>
        <w:rPr>
          <w:rFonts w:ascii="Arial" w:cs="Arial" w:eastAsia="Arial" w:hAnsi="Arial"/>
          <w:sz w:val="18"/>
          <w:szCs w:val="18"/>
          <w:color w:val="auto"/>
        </w:rPr>
      </w:pPr>
    </w:p>
    <w:p>
      <w:pPr>
        <w:ind w:right="260" w:firstLine="8"/>
        <w:spacing w:after="0" w:line="286" w:lineRule="auto"/>
        <w:tabs>
          <w:tab w:leader="none" w:pos="319"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Referral. </w:t>
      </w:r>
      <w:r>
        <w:rPr>
          <w:rFonts w:ascii="Arial" w:cs="Arial" w:eastAsia="Arial" w:hAnsi="Arial"/>
          <w:sz w:val="17"/>
          <w:szCs w:val="17"/>
          <w:color w:val="auto"/>
        </w:rPr>
        <w:t>We encourage our existing customers to spread our value proposition. Our referral channel compensates existing customers who refer new</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who subsequently receive a quote. This channel facilitates community-based growth to those who value our fair and transparent approach to insurance. This is our lowest cost acquisition channel and an important aspect of our ongoing distribution strategy.</w:t>
      </w:r>
    </w:p>
    <w:p>
      <w:pPr>
        <w:spacing w:after="0" w:line="111" w:lineRule="exact"/>
        <w:rPr>
          <w:rFonts w:ascii="Arial" w:cs="Arial" w:eastAsia="Arial" w:hAnsi="Arial"/>
          <w:sz w:val="17"/>
          <w:szCs w:val="17"/>
          <w:i w:val="1"/>
          <w:iCs w:val="1"/>
          <w:color w:val="auto"/>
        </w:rPr>
      </w:pPr>
    </w:p>
    <w:p>
      <w:pPr>
        <w:ind w:right="240" w:firstLine="8"/>
        <w:spacing w:after="0" w:line="286" w:lineRule="auto"/>
        <w:tabs>
          <w:tab w:leader="none" w:pos="319"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Agency</w:t>
      </w:r>
      <w:r>
        <w:rPr>
          <w:rFonts w:ascii="Arial" w:cs="Arial" w:eastAsia="Arial" w:hAnsi="Arial"/>
          <w:sz w:val="17"/>
          <w:szCs w:val="17"/>
          <w:color w:val="auto"/>
        </w:rPr>
        <w:t>. We continue to invest in a product to bring the speed and ease of our technology to the independent agency channel. This channel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a larger demographic of customers and we believe it has staying power. We developed an efficient quote and bind process that reduces the time the agent needs to spend with the customer, allowing agencies to be an efficient acquisition channel for us.</w:t>
      </w:r>
    </w:p>
    <w:p>
      <w:pPr>
        <w:spacing w:after="0" w:line="1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customer acquisition costs can vary by channel mix, by state, due to seasonality or due to the competitive environment. We believe our main channels allow us to efficiently acquire customers by leveraging our partners’ premier user experiences to approach captive audiences in a contextually relevant, data-centric way. Furthermore, we continue to invest in the technology and data science behind our distribution with A/B tests, dynamic bidding models, and rapid updates and iterations, supporting differentiated cost of customer acquisition over the long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full-stack insurance company, we operate a “capital-efficient” business model which utilizes elevated levels of reinsurance. Our capital management strategy has three core objectives: (1) prioritize revenue and targeted profitable customer growth while also maintaining regulatory capital requirements; (2) source efficient capital to support customer acquisition costs; and (3) mitigate impact of large losses or tail events. Together these strategies serve to maximize returns on shareholder capital as we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Reinsurance is a cornerstone of our capital management framework. We have multiple strategic business partnerships with leading global reinsurers who offer us reinsurance solutions on both a proportional (i.e., quota share) and non-proportional (i.e., excess of loss, or XOL, coverage) basis for multi-year periods. We also utilize a wholly-owned, Cayman Islands-based reinsurer, Root Reinsurance Company, Ltd., or Root Re.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Behavioral Data and Proprietary Telematics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use technology to measure risk based on transparent collection and analysis of individual driving performance, which we believe is the most powerful predictor of accidents and the leading variable in our underwriting model. By collecting and synthesizing massive amounts of rich, sensory behavioral data across thousands of driving variables, including distracted driving, we strive to price auto insurance based more on causality than correlation. While the notion of telematics has been around for decades, only recently has mobile technology made the concept adoptable at large scale.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hallmark of our data advantage is our integrated set of actual claims and associated proprietary telematics, which we believe to be one of the largest in the market. We match miles tracked, on an individual basis, with actual claims and identify a set of driving performance factors that cause, or on a relative basis are more likely to cause, accidents. We use an internally developed claims infrastructure to capture comprehensive structured data, contributing to our data advantage when combined with telematics experience and iterated over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focused on the following strategies to continue penetrating the $273 billion U.S. auto insurance market. In the near term, our primary focus is to execute on the auto opportunity at hand. In the longer-term, we plan to continue to develop additional growth opportunities through the expansion of product offerings.</w:t>
      </w:r>
    </w:p>
    <w:p>
      <w:pPr>
        <w:spacing w:after="0" w:line="13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Execute the Auto Opportunity</w:t>
      </w:r>
    </w:p>
    <w:p>
      <w:pPr>
        <w:spacing w:after="0" w:line="171" w:lineRule="exact"/>
        <w:rPr>
          <w:rFonts w:ascii="Arial" w:cs="Arial" w:eastAsia="Arial" w:hAnsi="Arial"/>
          <w:sz w:val="18"/>
          <w:szCs w:val="18"/>
          <w:color w:val="auto"/>
        </w:rPr>
      </w:pPr>
    </w:p>
    <w:p>
      <w:pPr>
        <w:ind w:left="980" w:right="40" w:hanging="324"/>
        <w:spacing w:after="0" w:line="259" w:lineRule="auto"/>
        <w:tabs>
          <w:tab w:leader="none" w:pos="976"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Better, fairer pricing. </w:t>
      </w:r>
      <w:r>
        <w:rPr>
          <w:rFonts w:ascii="Arial" w:cs="Arial" w:eastAsia="Arial" w:hAnsi="Arial"/>
          <w:sz w:val="18"/>
          <w:szCs w:val="18"/>
          <w:color w:val="auto"/>
        </w:rPr>
        <w:t>We will never stop working to improve our ability to segment risk by increasing the influence of behavioral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underwriting and pricing models. Our primary tool for improvement is to continue applying data science. Over time, we hope that we can replace all correlation-related inputs to our pricing model, such as credit scores, with a fully behavioral pricing model. We would view this as the ultimate achievement in customer transparency and fairness.</w:t>
      </w:r>
    </w:p>
    <w:p>
      <w:pPr>
        <w:spacing w:after="0" w:line="132" w:lineRule="exact"/>
        <w:rPr>
          <w:rFonts w:ascii="Arial" w:cs="Arial" w:eastAsia="Arial" w:hAnsi="Arial"/>
          <w:sz w:val="18"/>
          <w:szCs w:val="18"/>
          <w:color w:val="auto"/>
        </w:rPr>
      </w:pPr>
    </w:p>
    <w:p>
      <w:pPr>
        <w:ind w:left="980" w:right="700" w:hanging="324"/>
        <w:spacing w:after="0" w:line="286" w:lineRule="auto"/>
        <w:tabs>
          <w:tab w:leader="none" w:pos="976"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Expand embedded experience. </w:t>
      </w:r>
      <w:r>
        <w:rPr>
          <w:rFonts w:ascii="Arial" w:cs="Arial" w:eastAsia="Arial" w:hAnsi="Arial"/>
          <w:sz w:val="17"/>
          <w:szCs w:val="17"/>
          <w:color w:val="auto"/>
        </w:rPr>
        <w:t>We will continue to leverage our technology to embed with strategic partners and engage prospective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at contextually relevant times. We expect increased penetration of this channel over time as we seek to grow embedded relationships with other tech-enabled companies, offering access to additional customer bases.</w:t>
      </w:r>
    </w:p>
    <w:p>
      <w:pPr>
        <w:spacing w:after="0" w:line="111" w:lineRule="exact"/>
        <w:rPr>
          <w:rFonts w:ascii="Arial" w:cs="Arial" w:eastAsia="Arial" w:hAnsi="Arial"/>
          <w:sz w:val="17"/>
          <w:szCs w:val="17"/>
          <w:color w:val="auto"/>
        </w:rPr>
      </w:pPr>
    </w:p>
    <w:p>
      <w:pPr>
        <w:jc w:val="both"/>
        <w:ind w:left="980" w:hanging="324"/>
        <w:spacing w:after="0" w:line="311" w:lineRule="auto"/>
        <w:tabs>
          <w:tab w:leader="none" w:pos="976"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Enhance marketing efficiency. </w:t>
      </w:r>
      <w:r>
        <w:rPr>
          <w:rFonts w:ascii="Arial" w:cs="Arial" w:eastAsia="Arial" w:hAnsi="Arial"/>
          <w:sz w:val="16"/>
          <w:szCs w:val="16"/>
          <w:color w:val="auto"/>
        </w:rPr>
        <w:t>We will continue to enhance the efficiency of our marketing spend through data science and dynamic targeting,</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expanding our embedded experience. The embedded experience will allow us to develop integrated auto insurance solutions where we build on the premium mobile and web experiences of contextually relevant partners to access their active customer base.</w:t>
      </w:r>
    </w:p>
    <w:p>
      <w:pPr>
        <w:spacing w:after="0" w:line="94" w:lineRule="exact"/>
        <w:rPr>
          <w:rFonts w:ascii="Arial" w:cs="Arial" w:eastAsia="Arial" w:hAnsi="Arial"/>
          <w:sz w:val="16"/>
          <w:szCs w:val="16"/>
          <w:color w:val="auto"/>
        </w:rPr>
      </w:pPr>
    </w:p>
    <w:p>
      <w:pPr>
        <w:ind w:left="980" w:right="100" w:hanging="324"/>
        <w:spacing w:after="0" w:line="286" w:lineRule="auto"/>
        <w:tabs>
          <w:tab w:leader="none" w:pos="976"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Grow national auto insurance presence. </w:t>
      </w:r>
      <w:r>
        <w:rPr>
          <w:rFonts w:ascii="Arial" w:cs="Arial" w:eastAsia="Arial" w:hAnsi="Arial"/>
          <w:sz w:val="17"/>
          <w:szCs w:val="17"/>
          <w:color w:val="auto"/>
        </w:rPr>
        <w:t>We will continue to focus on domestic growth by diversifying marketing channels, becoming active</w:t>
      </w:r>
      <w:r>
        <w:rPr>
          <w:rFonts w:ascii="Arial" w:cs="Arial" w:eastAsia="Arial" w:hAnsi="Arial"/>
          <w:sz w:val="17"/>
          <w:szCs w:val="17"/>
          <w:i w:val="1"/>
          <w:iCs w:val="1"/>
          <w:color w:val="auto"/>
        </w:rPr>
        <w:t xml:space="preserve"> </w:t>
      </w:r>
      <w:r>
        <w:rPr>
          <w:rFonts w:ascii="Arial" w:cs="Arial" w:eastAsia="Arial" w:hAnsi="Arial"/>
          <w:sz w:val="17"/>
          <w:szCs w:val="17"/>
          <w:color w:val="auto"/>
        </w:rPr>
        <w:t>in more states while improving brand awareness. In instances where a prospective customer solicits a quote in a state where we do not currently underwrite, we retain their contact information, with permission, and re-engage upon state entry.</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may selectively pursue additional investments, acquisitions and partnerships to accelerate any of our growth and profitability objectives or to improve our competitive positioning within existing and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portfolio of investable assets is primarily held in cash, cash equivalents and available-for-sale fixed maturity securities, including U.S. Treasury securities, corporate debt securities, mortgage back securities and other debt obligations. We manage the portfolio in accordance with investment policies and guidelines approved by our board of directors. We have designed our investment policy and guidelines to provide a balance between current yield, conservation of capital, and liquidity requirements of our operations. We set guidelines that provide for a well-diversified investment portfolio that is compliant with insurance regulations applicable to the states in which we operate. For further information, see Note 3, “Investments,” in the Notes to Consolidated Financial Statements included elsewhere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insurance industry in which we operate is highly competitive. Many of our primary competitors have well-established national brands and market similar products. Our competitors include large national insurance companies such as Geico, Progressive and Allstate,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increased name recognition, higher financial ratings, greater resources, additional access to capital, and more types of insurance coverage to offer, such as health and life, than we currently do. In particular, many of these competitors offer consumers the ability to purchase multiple other types of insurance coverage and “bundle” them together into one policy and, in certain circumstances, include an umbrella liability policy for additional coverage at competitive prices. Moreover, as we expand into new lines of business and offer additional products, we could face intense competition from traditional insurance companies that are already established in such markets.</w:t>
      </w:r>
    </w:p>
    <w:p>
      <w:pPr>
        <w:spacing w:after="0" w:line="1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Competition is based on many factors, including the reputation and experience of the insurer, coverages offered, pricing and other terms and conditions, customer service, size, and financial strength ratings, among other considerations. We believe we compete favorably across many of these factors and have developed a platform and business model based on behavioral data collection and machine learning that we believe will be difficult for incumbent insurance providers to emulate.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platform are larger contributors to our success in the marketplace.</w:t>
      </w:r>
    </w:p>
    <w:p>
      <w:pPr>
        <w:spacing w:after="0" w:line="13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December 31, 2022, we had five issued patents with four non-provisional patent applications and four continuation applications pending examination in the United States. We continually review our development efforts to assess the existence and patentability of new intellectual property.</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markets in the United States. We also have registered domain names for websites that we use in our business.</w:t>
      </w:r>
    </w:p>
    <w:p>
      <w:pPr>
        <w:spacing w:after="0" w:line="1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sections titled “Risk Factors—Risks Related to Our Business—Our intellectual property rights are valuable, and any inability to protect them could reduce the value of our products, services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at Root</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tech-enabled insurance company, we view talent as one of our differentiating factors. We believe our employees’ knowledge, skills, and the way they work provide a competitive advantage allowing us to innovate, move with speed and bring subject matter expertise to the market for our customers and shareholders.</w:t>
      </w:r>
    </w:p>
    <w:p>
      <w:pPr>
        <w:spacing w:after="0" w:line="13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Company is founded on a core set of values: be curious and push boundaries, be courageous and build trust, and be focused and deliver impact. These values form the basis of our people strategy, which is to give employees voice and choice, build leadership capability to ensure our leaders serve as trusted advisors and the source of truth for our employees, and create a sense of belonging for all employees at all levels. These three pillars underscore each step of the employee lifecycle.</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past two years, we have made fundamental changes because of the COVID-19 pandemic. This includes moving to a “work where it works best” working environment whereby we allow employees to tell us where they would like to work – in an office, or outside an office anywhere in the continental United States. This choice allows us to help employees manage their health and the health of their family members, provides them with flexibility to live where they would like, changes our geographic footprint, and empowers our leaders to be creative in finding solutions that are mutually beneficial for our employees, customers, and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2022, we had 765 full-time employees. None of our employees are represented by a labor union or covered by collective bargaining agreements. In the first quarter of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 20% of our workforce at the time. Most of the reduction was driven by optimizing certain sales and claims departments. These departments saw a reduced workload that corresponded with the strategic reduction in marketing spend and lower claims volume in the second half of the year.</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in the fourth quarter of 2022, we initiated a company-wide involuntary workforce reduction of approximately 160 employees, which represented approximately 20% of our workforce at the time. The majority of the impacted employees were notified on November 9, 2022. The action was taken as part of our efforts to improve efficiency and operating costs, and prioritize resources to further strengthen our pricing and underwriting foundation and the continued development of our embedded products. We believe this action will help extend our capital runway. All the impacted employees from restructuring activities during the year were supported with financial and career placement assistance. We have not experienced any work stoppages throughout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Belonging at Root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committed to respecting, leveraging, and rewarding the unique views and contributions of all team members by increasing diversity while building and sustaining a culture of inclusivity and belonging. We are evolving in our approach to a more integrated strategy focused on attracting talent, retaining talent, and serving in our communities. Our board of directors continues to be actively involved in this process, prioritizing representation at all levels in the Company, and overseeing our belonging efforts at the full board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and Company Values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to applicable laws and regulations, our Code of Conduct, company values and policies provide the grounding for our ethical framework. Employees are encouraged to report any unusual behavior or any non-compliant activities through a variety of vehicles to include our anonymous reporting system. On an annual basis, we provide compliance training to, and require acknowledgement of our Code of Conduct and other key policies by, every employee. We strive to ensure our new employees know how and what to report. We have an open-door policy that allows employees to reach out to leaders, our People team, our Legal team and/or Compliance/Internal Audit teams to ensure that their concerns are communicated and addressed.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Hiring and Retaining Talent</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are continually working on building a culture of attraction and retention of key talent. Our recruiting approach has moved from a Columbus-centric approach to a National landscape in order to attract the best talent to innovate and meet the needs of our customers in a multitude of ways. Our focus on employee engagement continues with employee surveys and feedback opportunities to create action plans to address needs. We have implemented a performance development process to ensure that employees receive timely and actionable feedback and can improve their performance and voice their career aspirations.</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we seek to provide competitive pay and benefits through a combination of fixed and variable compensation programs. We have set salary ranges, based on our defined competitive markets, and annual short and long term incentives aligned to each of our positions as we believe are appropriate. Our executives and senior leadership roles, along with several identified roles throughout the business participate in a long-term equity-based incentive program, which we believe strongly supports a long term view and pay for performance that is aligned with our shareholders. Our benefit offering covers medical, dental, vision, prescription drug benefits along with a robust employee assistance program, life insurance, short- and long-term disability, paid time off and paid parental leave. Our move to a “work where it works best” culture allows for tremendous employee flexibility for employees to manage their lives in the ways that they want while also meeting their performance objectives at work.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Regulation</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subject to insurance regulation in the jurisdictions in which we transact insurance through our licensed insurance carriers and producer subsidiaries in the United States. Insurance regulatory authorities have broad administrative powers to regulate all aspects of an insurance carrier or producer’s business, including the powers to restrict or revoke licenses to transact business, and to levy fines and monetary penalties against insurers and insurance producers found to be in violation of applicable laws and regulations. Regulations to which our licensed insurance carriers and producer subsidiaries are subject include, but are not limited to:</w:t>
      </w:r>
    </w:p>
    <w:p>
      <w:pPr>
        <w:spacing w:after="0" w:line="134" w:lineRule="exact"/>
        <w:rPr>
          <w:sz w:val="20"/>
          <w:szCs w:val="20"/>
          <w:color w:val="auto"/>
        </w:rPr>
      </w:pPr>
    </w:p>
    <w:p>
      <w:pPr>
        <w:ind w:firstLine="8"/>
        <w:spacing w:after="0" w:line="263"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approval of transactions resulting in a change of “control” (as such term is defined under the Insurance Holding Company System Regulatory Act of Ohio, or the Ohio Holding Company Act, and the Delaware Insurance Holding Company System Registration Act, and together with the Ohio Holding Company Act, the Holding Company Acts);</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policy forms and premiums;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intercompany service agreements;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statutory and risk-based capital solvency requirements, including the minimum capital and surplus our regulated insurance subsidiaries must maintain;</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minimum reserves that insurance carriers must hold to pay projected insurance claims;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participation by our regulated insurance subsidiaries in state guaranty funds;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type and concentration of our regulated insurance subsidiaries’ investments;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advertising and marketing of insurance;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adjustment and settlement of insurance claims;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use of rebates to induce a policyholder to purchase insurance;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sale, solicitation and negotiation of insurance;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sharing of insurance commissions and payment of referral fees;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prohibitions on the underwriting of insurance on the basis of race, sex, religion and other protected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4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our ability to use telematics to underwrite and price insurance policies, particularly in California;</w:t>
      </w:r>
    </w:p>
    <w:p>
      <w:pPr>
        <w:spacing w:after="0" w:line="171" w:lineRule="exact"/>
        <w:rPr>
          <w:rFonts w:ascii="Arial" w:cs="Arial" w:eastAsia="Arial" w:hAnsi="Arial"/>
          <w:sz w:val="18"/>
          <w:szCs w:val="18"/>
          <w:color w:val="auto"/>
        </w:rPr>
      </w:pPr>
    </w:p>
    <w:p>
      <w:pPr>
        <w:ind w:right="320" w:firstLine="8"/>
        <w:spacing w:after="0" w:line="277"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ability of our regulated insurance subsidiaries to pay dividends to us or enter into certain related party transactions without prior regulatory approval;</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requiring the maintenance of statutory deposits for the benefit of policyholders;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privacy regulation and data security;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 of corporate governance and risk management;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examinations of operations, finances, market conduct and claims practices;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periodic financial reporting.</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business of insurance is almost entirely regulated at the state level, and the laws and regulations to which we are subject vary depending on the state. Unless the context otherwise requires, references herein to “state” include any of the 50 states, the District of Columbia and certain U.S. territories. These rules are subject to change as state legislatures and regulatory agencies update their laws and regulations to address real and perceived issues and concerns. These laws and regulations are also subject to interpretation by courts. The National Association of Insurance Commissioners, or NAIC, and the National Council of Insurance Legislators, or NCOIL, are the principal organizations tasked with establishing standards and best practices across the various states, the District of Columbia and five U.S. territories, and from time to time promulgate model rules and regulations that often are the basis for insurance rules and regulations adopted by such jurisdictions. We cannot predict precisely whether or when regulatory actions may be taken that could adversely affect us or the operations of our regulated insurance subsidiaries. Interpretations of regulations by regulators may change and statutes, regulations and interpretations may be applied with retroactive effect, particularly in areas such as accounting or reserve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Licensing</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two wholly-owned regulated U.S. insurance subsidiaries, Root Insurance Company and Root Property &amp; Casualty Insurance Company, or Root Property &amp; Casualty. Root Insurance Company, an Ohio-domiciled insurer, is admitted in the state of Ohio to transact certain lines of property and casualty insurance, maintains licenses to transact insurance in Alabama, Alaska, Arizona, Arkansas, California, Colorado, Connecticut, Delaware, District of Columbia, Florida, Georgia, Hawaii, Illinois, Indiana, Iowa, Kentucky, Louisiana, Maryland, Mississippi, Missouri, Montana, Nebraska, Nevada, New Hampshire, New Mexico, North Carolina, North Dakota, Oklahoma, Oregon, Pennsylvania, South Carolina, Tennessee, Texas, Utah, Virginia, Washington and West Virginia. Root Property &amp; Casualty is domiciled in Delaware and admitted in all 50 states and the District of Columbia to transact certain lines of property and casualty insurance (including to sell personal auto insurance in 48 states and the District of Columbia). Since Root Insurance Company is our regulated insurance subsidiary with the largest premium volume, Ohio is considered our primary state insurance regulator.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a reinsurance captive subsidiary, Root Re, domiciled in the Cayman Islands.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licensed insurance producer subsidiaries, Root Insurance Agency, LLC, Root Lone Star Insurance Agency, LLC, and Root Scout, LLC, must maintain an insurance producer license in every state in which they sell, solicit or negotiate insurance. Root Insurance Agency, LLC currently holds a resident insurance producer license in Ohio and a non-resident license in 44 states and the District of Columbia, which excludes California, Florida, Massachusetts, Minnesota and New York. Root Lone Star Insurance Agency, LLC currently holds a resident managing general agency license in Texas. Root Scout, LLC currently holds a resident insurance producer license in Ohio and a non-resident license in 46 states and the District of Columbia, which excludes Alabama, Hawaii, and Minnesota.</w:t>
      </w:r>
    </w:p>
    <w:p>
      <w:pPr>
        <w:spacing w:after="0" w:line="1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Insurance regulators have broad authority to restrict or revoke licenses of insurance carriers and producers who are found to be in violation of any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of Our Employees</w:t>
      </w:r>
    </w:p>
    <w:p>
      <w:pPr>
        <w:spacing w:after="0" w:line="17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Any of our employees who sell, solicit or negotiate insurance must be licensed and appointed insurance producers and must fulfill annual continuing education requirements. In certain states in which we operate, insurance claims adjusters are also required to be licensed and fulfill annual continuing education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the ultimate controlling person in the “insurance holding company system” under the Holding Company Acts, we are required to file annual enterprise risk reports, corporate governance disclosures and own risk solvency assessments with our domiciliary regulators. Moreover, in Ohio for example, any person divesting control of an insurer must provide 30 days’ notice to the regulator and the insurer.</w:t>
      </w:r>
    </w:p>
    <w:p>
      <w:pPr>
        <w:spacing w:after="0" w:line="13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Holding Company Acts, all inter-affiliate transactions within a holding company system must meet the following conditions: (i) the terms must be fair and reasonable; (ii) charges or fees for services performed must be fair and reasonable; and (iii) expenses incurred and payments received must be allocated to the insurer in conformity with customary insurance accounting practices consistently applied. We generally must disclose any transaction between our regulated insurance subsidiaries and our other affiliates to the supervisory Department of Insurance, or DOI, and obtain prior approval from such DOI before entering into certain material inter-affiliate transactions, including, but not limited to, management agreements, tax allocation agreements, service contracts, cost-sharing arrangements, extraordinary dividends, certain reinsurance transactions and certain loan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Pursuant to the Holding Company Acts, a person must seek regulatory approval from the superintendent of the supervisory DOI prior to acquiring direct or indirect “control” of a domestic insurer by filing a Form A Statement Regarding the Acquisition of Control of or Merger with a Domestic Insurer.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The superintendent of the DOI will grant approval of an application to acquire control of a domestic insurer unless, after a public hearing, the superintendent finds that any of the following apply: (i) after the change of control, the domestic insurer would not be able to satisfy the requirements for the issuance of a license to write the line or lines of insurance for which it is presently licensed; (ii) the effect of the merger or other acquisition of control would be substantially to lessen competition in insurance in the applicable state or tend to create a monopoly; (iii) the financial condition of any acquiring party is such as might jeopardize the financial stability of the domestic insurer, or prejudice the interests of its policyholders; (iv) the plans or proposals that the acquiring party has to liquidate the domestic insurer, sell its assets, or consolidate or merge it with any person, or to make any other material change in its business or corporate structure or management, are unfair and unreasonable to policyholders of the domestic insurer and not in the public interest; (v) the competence, experience and integrity of the persons that would control the operation of the domestic insurer are such that it would not be in the interest of policyholders of the domestic insurer and of the public to permit the merger or other acquisition of control; or (vi) the acquisition is likely to be hazardous or prejudicial to the insurance-buying public.</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Holding Company Acts provide that control over a domestic insurer is presumed to exist if any person, directly or indirectly, owns, controls, holds with the power to vote, or holds proxies representing, ten percent or more of the voting securities of the domestic insurer. A person may rebut this statutory presumption of control by submitting a disclaimer of affiliation with the supervisory DOI, disclosing all material relationships and bases for affiliation between the person and the insurer as well as the basis for disclaiming such affiliation. The state regulators, however, may also find that “control” exists in circumstances in which a person owns or controls less than ten percent of the voting securities of the domestic insurer.</w:t>
      </w:r>
    </w:p>
    <w:p>
      <w:pPr>
        <w:spacing w:after="0" w:line="12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These change of control regulations may dissuade investors from acquiring a controlling stake in our company, including through transactions that some or all of our stockholders might consider to be desirable. Such regulations may also inhibit our ability to acquire an insurance company should we wish to do so in the future. See the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titled “Risk Factors—Risks Related to this Offering and Ownership of Our Class A Common Stock—Applicable insurance laws may make it difficult to effect a change of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ORSA</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Own Risk and Solvency Assessment, or ORSA, an insurance company with gross written and unaffiliated assumed premium of more than $500 million or that is part of an insurance group with gross written and unaffiliated assumed premium of more than $1 billion must maintain a risk management framework to assist the insurer with identifying, assessing, monitoring, managing, and reporting on its material and relevant risks. In addition, the insurer must regularly conduct an own risk and solvency assessment in accordance with NAIC’s ORSA Guidance Manual. Upon the request of the superintendent of the Ohio DOI, and not more than once a year, an insurer must submit an ORSA summary report, or any combination of reports that together contain the information described in the ORSA Guidance Manual, with respect to the insurer and the insurance group of which it is a member. Root Insurance Company became subject to ORSA in 2020 since it had gross written and unaffiliated assumed premium in excess of $500 million for that year and its first assessment was due prior to the end of fiscal year 2021. Root, Inc. filed its first ORSA summary report with the Ohio DOI on December 30, 2021 and its second ORSA summary report with the Ohio DOI on December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Paying Dividends</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a holding company that transacts a majority of its business through operating subsidiaries. Consequently, our ability to pay dividends to stockholders and meet our debt payment obligations depends on the results of operations of our operating subsidiaries and on the ability of such subsidiaries to provide us with cash, whether in the form of dividends, distributions, loans or otherwise. The payment of any extraordinary dividend by one of our regulated insurance subsidiaries requires the prior approval of the superintendent of the supervisory DOI. “Extraordinary dividend” is defined under the Code as: (i) any dividend or distribution of cash or other property whose fair market value, together with that of other dividends or distributions made within the preceding twelve months, exceeds the greater of (a) ten percent of an insurer’s policyholder surplus as of December 31 of the preceding year, or</w:t>
      </w:r>
    </w:p>
    <w:p>
      <w:pPr>
        <w:spacing w:after="0" w:line="4" w:lineRule="exact"/>
        <w:rPr>
          <w:sz w:val="20"/>
          <w:szCs w:val="20"/>
          <w:color w:val="auto"/>
        </w:rPr>
      </w:pPr>
    </w:p>
    <w:p>
      <w:pPr>
        <w:ind w:right="80" w:firstLine="8"/>
        <w:spacing w:after="0" w:line="295"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insurer’s net income for the twelve-month period ending December 31 of the preceding year or (ii) any dividend or distribution paid by an insurer from a source other than earned surplus. As of December 31, 2022, neither Root Insurance Company nor Root Property &amp; Casualty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and the Delaware DOI may in the future adopt statutory provisions more restrictive than those currently in effect.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domestic insurance subsidiaries are required to hold admitted assets as reserves to cover projected losses under its policies, in accordance with actuarial principles. In accordance with NAIC’s property and casualty statement instructions, they must submit an annual Statement of Actuarial Opinion from a qualified actuary appointed by the Company, certifying that its reserves are reasonable.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Risk-Based Capital and Group Capital</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domestic insurance subsidiaries are required to maintain minimum levels of risk-based capital to support their overall business operations and minimize the risk of insolvency. State insurance regulators use risk-based capital to set capital requirements, based on the size and degree of risk taken by the insurer, taking into account various risk factors including asset risk, credit risk, underwriting risk, and interest rate risk. As the ratio of an insurer’s total adjusted capital and surplus decreases relative to its risk-based capital, the risk-based capital laws provide for increasing levels of regulatory scrutiny and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Both Ohio and Delaware have adopted the model legislation promulgated by the NAIC pertaining to risk-based capital and require annual reporting by insurers domiciled within such states to confirm that the insurer is meeting its risk-based capital requirements. Insurers falling below a risk-based capital threshold may be subject to varying degrees of regulatory action.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When total adjusted capital falls below 70%, a mandatory control event is triggered which results in the supervisory DOI placing the insurance company in receivership and assuming control of the operations of the insurer. Root, Inc. entered into an agreement with the Superintendent of Insurance, State of Ohio, or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 As of December 31, 2022, both Root Insurance Company and Root Property &amp; Casualty’s risk-based capital levels are above any of these regulatory action level thresholds and our guaranteed threshold.</w:t>
      </w:r>
    </w:p>
    <w:p>
      <w:pPr>
        <w:spacing w:after="0" w:line="11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the NAIC has developed a group capital calculation covering all entities in our insurance company group for us in solvency monitoring activities. The group capital calculation provides regulators with an additional analytical tool for conducting supervisory activities. As of December 31, 2022, Ohio adopted the model legislation, which will become effective June 1, 2025 for those insurance holding company systems that do not write business outside the United States, like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Financial Conditions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insurance regulatory authorities have the authority to deem our domestic insurance subsidiaries to be in a hazardous financial condition such that the insurer’s continued operation may be hazardous to its policyholders, creditors, or the general public. A finding of a hazardous condition can be based upon a number of factors, including, but not limited to: (i) adverse findings in a financial, market conduct or other examination; (ii) failure to maintain adequate reserves in accordance with presently accepted actuarial standards of practice; (iii) net loss or negative net income in the last twelve month period or any shorter period of time; (iv) failure to meet financial and holding company filing requirements; (v) insolvencies with a company’s reinsurer(s) or within the insurer’s insurance holding company system; (vi) a finding of incompetent or unfit management of the insurer; (vii) a failure to furnish requested information or provide accurate information in relation to a response to an inquiry or filing of a financial statement; and (viii) any other finding determined by the commissioner to be hazardous to the insurer’s policyholders, creditors or general public.</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an insurance regulatory authority finds one of our domestic insurance subsidiaries to be in hazardous condition it has the authority, in lieu of placing the insurer into supervision, rehabilitation or liquidation, to enter into a memorandum of understanding with the insurer or issue an order to require the insurer to remedy the hazard. This would include, but is not limited to, ordering the insurer to: (i) increase its capital and surplus, (ii) suspend payments of dividends, (iii) limit or withdraw from certain investments, (iv) correct corporate governance deficiencies and (v) take any other action necessary to cure the hazardous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Periodic Examinations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insurance subsidiaries are subject to on-site visits and financial and/or market conduct examinations by state insurance regulatory authorities. We are subject to financial condition examinations in any state in which one of our insurance company subsidiaries is domiciled. For example, Root Insurance Company is Ohio-domiciled and subject to a financial condition examination by the Ohio DOI at least every three to five years, during which the Ohio DOI reviews the Company’s financials, governance, and operations, including its relationships and transactions with affiliates. Root Insurance Company’s first financial condition examination by the Ohio DOI covered the period of January 1, 2015 through December 31, 2019 and was completed on July 8, 2021. Root Property &amp; Casualty, a Delaware-domiciled insurer, was subject to a similar financial condition examination by the Delaware DOI, which covered the period of January 1, 2016 through December 31, 2020 and was completed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February 2, 2022. The Ohio DOI and Delaware DOI examination reports are available to the public and contained no formal findings. Additionally, no financial statement adjustments were required as a result of the Ohio DOI and the Delaware DOI examinations.</w:t>
      </w:r>
    </w:p>
    <w:p>
      <w:pPr>
        <w:spacing w:after="0" w:line="1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also subject to market conduct examinations in any state in which one of our insurance subsidiaries issues policies. Market conduct examinations examine an insurer’s conduct toward policyholders, including complaint handling, marketing, claims, policyholder notice, rate and form filing, and customer service. These examinations can result in fines and other monetary penalties, as well as other regulatory orders requiring remedial, injunctive, or other corrective action. Root Insurance Company is currently undergoing market conduct examination conducted by the Virginia Bureau of Insurance. The Virginia examination is expected to conclude in the first half of 2023. In addition, Root Re, our Cayman Islands subsidiary, is subject to inspections by the Cayman Islands Monetary Authority, or CIMA, on an ad-hoc basis and likely within a five-year period. To date no inspection has occurred.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licensed insurance carrier’s financial statements must be completed in accordance with statutory accounting principles, or SAP. SAP was developed by U.S. insurance regulators as a method of accounting used to monitor and regulate the solvency of insurance companies. In developing SAP, insurance regulators were primarily concerned with evaluating an insurer’s ability to pay all its current and future obligations to customers. As a result, statutory accounting focuses on conservatively valuing the assets and liabilities of insurers, generally in accordance with standards specified by the insurer’s domiciliary jurisdiction.</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Uniform statutory accounting practices are established by the NAIC and generally adopted by regulators in the various U.S. jurisdictions. These accounting principles and related regulations differ somewhat from generally accepted accounting principles in the United States, or GAAP, which are designed to measure a business on a going-concern basis. GAAP gives consideration to matching of revenue and expenses and, as a result, certain expenses are capitalized when incurred and then amortized over the life of the associated policies. Other assets such as goodwill are accounted for under GAAP financial statements but not SAP. As a result, the values for assets, liabilities, and equity reflected in financial statements prepared in accordance with GAAP may be different from those reflected in financial statements prepared under SAP.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for Reinsurance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Root Insurance Company is currently party to a number of reinsurance agreements under which it has ceded a portion of the risk it is insuring to various reinsurers. State insurance laws permit U.S. insurance companies, as ceding insurers, to take financial statement credit for reinsurance that is ceded, so long as the assuming reinsurer satisfies the state’s credit for reinsurance laws. Once an insurance carrier has received credit for reinsurance it does not need to hold separate admitted assets as reserves to cover claims on the risks that it has ceded to the reinsurer. There are several different ways in which the credit for reinsurance laws may be satisfied by an assuming reinsurer, including being licensed in the state, being accredited in the state, or maintaining certain types of qualifying collateral. We ensure that all of Root Insurance Company’s reinsurers qualify for credit for reinsurance so that Root Insurance Company is able to take full financial statement credit for its reinsurance.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Regulation</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Most states require personal property and casualty insurers to file rating plans, policy or coverage forms, and other information with the state’s regulatory authority. In certain cases, such rating plans, policy forms, or both must be approved prior to use.</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currently have products on file and approved in the following states: Alabama, Arizona, Arkansas, California, Colorado, Connecticut, Delaware, Florida, Georgia, Illinois, Indiana, Iowa, Kansas, Kentucky, Louisiana, Maryland, Mississippi, Missouri, Montana, Nebraska, Nevada, New Mexico, North Dakota, Ohio, Oklahoma, Oregon, Pennsylvania, South Carolina, Tennessee, Texas, Utah, Virginia, West Virginia, and Wisconsin.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speed with which an insurer can change rates in response to competition or increasing costs depends, in part, on whether the rating laws are (i) prior approval, (ii) file-and-use or (iii) use-and-file laws. In states having prior approval laws, the regulator must approve a rate before the insurer may use it. In states having file-and-use laws, the insurer does not have to wait for the regulator’s approval to use a rate, but the rate must be filed with the regulatory authority prior to being used. A use-and-file law requires an insurer to file rates within a certain period of time after the insurer begins using them. Under all three types of rating laws, the regulator has the authority to disapprove a rate filing.</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insurer’s ability to adjust its rates in response to competition or to changing costs depends on an insurer’s ability to demonstrate to the regulator that its rates or proposed rating plan meet the requirements of the rating laws. In those states that significantly restrict an insurer’s discretion in selecting the business that it wants to underwrite, an insurer can manage its risk of loss by charging a rate that reflects the cost and expense of providing the insurance. In those states that significantly restrict an insurer’s ability to charge a rate that reflects the cost and expense of providing the insurance, the insurer can manage its risk of loss by being more selective in the type of business it underwrites. When a state significantly restricts both underwriting and pricing, it becomes more difficult for an insurer to maintain its profitability.</w:t>
      </w:r>
    </w:p>
    <w:p>
      <w:pPr>
        <w:spacing w:after="0" w:line="138"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From time to time, the personal lines insurance industry comes under pressure from state regulators, legislators, and special-interest groups to reduce, freeze, or set rates at levels that do not correspond with our analysis of underlying costs and expenses. In particular, auto insurers have come under increasing pressure because of inflation and other macroeconomic factors. Whether this pressure continues to exist depends on the macroeconomic environment. State regulators may interpret existing law or rely on future legislation or regulations to impose new restrictions that adversely affect profitability or growth. We cannot predict with precision the impact on our business of possible future legislative and regulatory measures regarding insurance rates.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Insolvency Funds and Associations, Guarantee Funds, Assigned Risk Plans, Mandatory Pools, and Insurance Facilities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Most states require admitted property and casualty insurance companies to become members of insolvency funds or associations, which they fund through an annual assessment. In addition, certain states have enacted laws that require an insurer conducting business in that state to participate in assigned risk plans, reinsurance facilities and joint underwriting associations. These funds cover payments of claims of state policyholders whose admitted insurance carriers have become insolvent. The annual assessments required in any one year will vary from state to state and are subject to various maximum assessments per line of insurance.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Regulation</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Root Insurance Company is subject to Ohio’s rules and regulations governing the investment of its assets. Similarly, Root Property &amp; Casualty is subject to Delaware’s rules and regulations governing invested assets. These laws generally require that an insurance company invest in a diverse portfolio and limit their investments in certain asset categories. Failure to comply with these laws and regulations would cause non-conforming investments to be treated as non-admitted assets for purposes of measuring statutory surplus and, in certain circumstances, we would be required to dispose of those investments.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Practices</w:t>
      </w:r>
    </w:p>
    <w:p>
      <w:pPr>
        <w:spacing w:after="0" w:line="171"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Insurance producers are subject to regulation on how they may sell, solicit or negotiate insurance and conduct their business, with state laws prohibiting certain unfair trade practices. Such practices include, but are not limited to, false advertising, making false statements to regulators, unfair discrimination and rebating premium to policyholders above certain de minimis amounts. We set business conduct policies and provide training to make our employee-agents and other customer service personnel aware of these prohibitions and require them to conduct their activities in compliance with these statutes.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Unfair Claims Practices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Insurance companies, third-party administrators and individual claims adjusters are generally prohibited by state statutes from engaging in unfair claims practices. Unfair claims practices include, but are not limited to, misrepresenting pertinent facts or insurance policy provisions, failing to acknowledge and act reasonably promptly upon communications with respect to claims arising under insurance policies, failing to adopt reasonable standards for the investigation and settlement of a claim and attempting to settle a claim for less than the amount to which a reasonable person would have believed such person was entitled. We set business conduct policies to make claims adjusters aware of these prohibitions and to require them to conduct their activities in compliance with these statutes.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Sharing</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Insurance producers cannot share insurance commissions with any person for selling, soliciting or negotiating insurance unless such person holds an insurance producer license in the lines of insurance that are being transacted. Under the insurance laws of most states, there is a limited exception to this prohibition on commission sharing for the payment of referral fees to unlicensed persons, provided that the fee is a flat fee that is not contingent on the purchase of insurance and the referral does not involve the discussion of the terms or conditions of the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use of non-public personal information in the insurance industry is subject to regulation under the privacy provisions of the Gramm-Leach Bliley Act and the NAIC Insurance Information and Privacy Act, as adopted and implemented by the various state legislatures and insurance regulators, including through the California Financial Information Privacy Act. Pursuant to these laws and regulations, among other things, an insurance carrier or producer must disclose its privacy policies to all of its applicants and policyholders and must also provide either an opt-in or opt-out, depending on the state, to the sharing of non-public personal information with unaffiliated third parties. Under these rules and regulations, insurance companies and producers must also establish a program of administrative, technical, and physical safeguards designed to ensure the security and confidentiality of customer information, protect against any anticipated threats or hazards to the security or integrity of customer information, and protect against unauthorized access to or use of customer information that could result in substantial harm or inconvenience to the customers.</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also subject to the California Consumer Privacy Act, or CCPA, which took effect on January 1, 2020, and the California Privacy Rights Act, or CPRA, which took effect on January 1, 2023. The CCPA and CPRA give California residents the right to access and require deletion of their personal information, opt out of certain personal information sharing, and receive detailed disclosures about how their personal information is used and shared. The CCPA and CPRA exempt certain information that is collected, processed, sold or disclosed pursuant to the California Financial Information Privacy Act, the Gramm-Leach-Bliley Act or the federal Driver’s Privacy Protection Act, which also apply to us. However, the definition of “personal information” in the CCPA is broad and encompasses other information that we process beyond the scope of this exemption.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Additionally, in response to the growing threat of cyber-attacks in the insurance industry, certain jurisdictions have begun to consider and adopt new cybersecurity regulations. On October 24, 2017, the NAIC adopted the Insurance Data Security Model Law, intended to serve as model legislation for states to enact in order to govern cybersecurity and data protection practices of insurers, insurance agents, and other licensed entities registered under state insurance laws. A number of states have adopted versions of the Insurance Data Security Model Law, each with a different effective date. Root takes steps to comply with financial industry cybersecurity regulations and believes it complies in all material respects with their requirements but the patchwork nature of the laws in this area currently can make it more costly and difficult to ensure compliance. Our board of directors oversees cybersecurity risk management and delegates oversight of our information security program to our executive officers and chief information security officer, who is responsible for the day-to-day management of our information security program and provides updates to the Audit, Risk and Finance committee of our board of directors at each of its meetings. Our incident response team, headed by our general counsel, reports material information security incidents to our executive officers, who in turn report them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regulation of insurance companies is principally a matter of state law, and the federal government does not directly regulate the transaction of insurance. However, federal regulation and initiatives do have an impact on the insurance industry. In particular, the Federal Insurance Office, or FIO, was established within the U.S. Department of the Treasury by the Dodd-Frank Act in July 2010 to monitor and coordinate the regulation of the insurance industry across the United States.</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the FIO has limited direct regulatory authority over insurance companies or other insurance industry participants, it does represent the United States on prudential aspects of international insurance matters, including at the International Association of Insurance Supervisors, or IAIS. In addition, the FIO serves as an advisory member of the Financial Stability Oversight Council, or FSOC, assists the Secretary of the U.S. Department of the Treasury with administration of the Terrorism Risk Insurance Program, monitors trends in the insurance industry and advises the secretary of the U.S. Department of the Treasury on important national and international insurance matters. The FIO has the ability to make a recommendation to the FSOC to designate an insurer as “systemically significant,” subjecting the insurer to regulation by the Federal Reserve as a bank holding company, which could lead to higher capital requirements.</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a number of federal laws affect and apply to the insurance industry, including various privacy laws, false advertising laws, anti-money laundering laws, the Fair Credit Reporting Act, or FCRA, and the economic and trade sanctions implemented by the Office of Foreign Assets Control, or OFAC. OFAC has imposed civil penalties on persons, including insurance and reinsurance companies, arising from violations of its economic sanctions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 information about Root, Inc., including our Corporate Governance Guidelines and our Code of Business Conduct and Ethics, can be found at ir.joinroot.com under the “Governance” tab by selecting “Documents &amp; Charters.” We will post on our website any amendments to, or waivers from, our Code of Business Conduct and Ethics requiring disclosure under applicable rules within four business days of the amendment or waiver. Charters for the Audit, Risk and Finance Committee, Compensation Committee, and Nominating and Governance Committee are also available at this location. Root, Inc. uses its website, ir.joinroot.com, as a channel for routine distribution of important information, including news releases and other investor communications. Our Annual Report on Form 10-K, Quarterly Reports on Form 10-Q and Current Reports on Form 8-K, as well as any amendments and exhibits to those reports, are available free of charge through our website as soon as reasonably practicable after the reports are filed with or furnished to the SEC. These documents are also available in hard copy, free of charge, by contacting our Investor Relations office. Additionally, the SEC maintains a website (www.sec.gov) that contains the reports, proxy statements and information statements, and other information regarding issuers that file or furnish electronically with the SEC. In addition, our website allows investors and other interested persons to sign up to automatically receive email alerts when we post news releases and financial information on our website. Information contained on our website is not incorporated into this Annual Report on Form 10-K or other securities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are certain risk factors that could affect our business, financial position and results of operations. Although the risks are organized by headings and each risk is described separately, many of the risks are interrelated. The risks that we have highlighted in the following section of this report are not the only ones that we face. Our business involves various risks and uncertainties as well as those associated with the general business and insurance industry environments.</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results of operations or prospects could be materially and adversely affected by any of these risks or uncertainties, as well as by risks or uncertainties not currently known to us, or that we do not currently believe are material. In that case, the trading price of our Class A common stock could decline, and you may lose all or part of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could continue to incur substantial net losses in the future. We may not be able to grow or achieve or maintain profitability in the future.</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incurred net losses on an annual basis since our incorporation in 2015, and we may incur significant net losses in the future. We incurred net losses of $297.7 million, $521.1 million and $363.0 million for the years ended December 31, 2022, 2021 and 2020, respectively. We had an accumulated loss of $1,567.8 million and $1,270.1 million as of December 31, 2022 and December 31, 2021, respectively.</w:t>
      </w:r>
    </w:p>
    <w:p>
      <w:pPr>
        <w:spacing w:after="0" w:line="13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principal driver of our losses to date is our loss ratios associated with accidents by our customers. As a newer and historically high growth-focused full-stack insurance company, we have a higher proportion of new customers and/or customers who are inclined to more regularly shop for insurance relative to longer-tenured insurance companies. This higher proportion of new and shopper customers typically generates proportionately greater losses, thus impacting our loss ratio. Like with other more-tenured insurance companies, over time we expect a greater proportion of all customers will be renewal customers. Establishing adequate premium rates is necessary, together with investment income, if any, to generate sufficient revenue to offset losses, loss adjustments expenses, or LAE, and other costs. If we do not accurately assess the risks that we underwrite, the premiums that we charge may not be adequate to cover our losses and expenses, which would adversely affect our results of operations and our profitability.</w:t>
      </w:r>
    </w:p>
    <w:p>
      <w:pPr>
        <w:spacing w:after="0" w:line="11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expect accumulated net loss to continue to increase as we continue to make investments in the development and expansion of our business. Expenses contributing to a net loss may occur in the areas of building embedded products, telematics, digital marketing, brand advertising, consumer-facing technologies, core insurance operations services and lines of insurance not presently offered by Root. We may encounter unforeseen or unpredictable factors, including unforeseen operating expenses, complications or delays, or other losses (for example, litigation losses), which may result in increased costs, impacting our ability to grow. It is difficult to predict the size and growth rate of our market, demand for our services and success of current or potential future competitors and our investments to grow our business may not result in increased or sufficient revenue or growth for several years or at all. Additionally, we will continue to incur significant expenses in connection with the repayment of the outstanding principal and accrued interest on our term loan, and as a public company, we will also incur significant legal, accounting and other expenses that we did not incur as a private company.</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limited operating history may make it difficult to evaluate our current business and our future prospects. While our revenue has grown in some recent periods and contracted in others, our historic growth rate may not be sustainable. With changes to our focus areas of growth, our historic growth rates should not be considered indicative of future performance, and we may not realize sufficient revenue to achieve or maintain profitability. Revenue growth rates may slow in future periods due to a number of reasons. We may choose to preserve capital, change our focus areas of growth, or encounter unforeseen or unpredictable factors, which may result in increased operating expenses, other losses, complications or delays slowing demand for our service, increasing competition, a decrease in the growth of our overall market, and our failure to capitalize on growth opportunities or the maturation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business. If we fail to manage our losses or to grow our revenue sufficiently to keep pace with our investments and other expenses, our business will be seriously harmed and we may not achieve or maintain profitability in future periods.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lose existing customers or fail to acquire new customers, including through our embedded insurance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3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ability to attract and retain customers depends, in part, on our ability to successfully expand geographically, grow our business in the markets we currently serve, expand into new lines of business and offer additional products beyond automobile, renters and homeowners insurance. Expanding into new geographic markets takes time, may place us in unfamiliar competitive environments, requires us to navigate and comply with extensive regulations and may occur more slowly than we expect or than it has occurred in the past. While our loss performance has generally improved over time, loss performance is influenced by a number of factors, including inflation, and as more customers renew their policies and remain policyholders for longer, a future loss of customers could lead to higher loss ratios or loss ratios that cease to decline, which would adversely impact our profitability. If we lose customers, our value will diminish. In addition, we may fail to accurately predict risk segmentation of new customers or potential customers, which could also reduce our profitability.</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 the insurance industry in which we operate is highly competitive. Many of our primary competitors have well-established national brands and market similar products. Our competitors include large national insurance companies,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better name recognition, higher financial ratings, greater resources, additional access to capital, and more types of insurance coverage to offer, such as health and life. In particular, many of our competitors offer consumers the ability to purchase multiple types of insurance coverage and “bundle” them together into one policy and, in certain circumstances, include an umbrella liability policy for additional coverage at competitive prices. As we expand into new lines of business and offer additional products, we could face intense competition from traditional insurance companies that are already established in such markets.</w:t>
      </w:r>
    </w:p>
    <w:p>
      <w:pPr>
        <w:spacing w:after="0" w:line="12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business model and technology are still nascent compared to the established business models of the well-established incumbents in the insurance market.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insurance regulation could limit our ability to introduce new product offerings. New insurance products could take an extended amount of time to be approved by regulatory authorities or may not be approved at all. If we fail to penetrate new vertical markets successfully, our revenue may grow at a slower rate than we anticipate, and our business, results of operations and financial condition could be materially adversely affected.</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invested in growth strategies by utilizing unique customer value propositions, differentiated product offerings and distinctive advertising campaigns. In addition, we have invested in and are actively attempting to expand our embedded insurance offering. If we are unsuccessful through these strategies in generating new business, retaining a sufficient number of customers or retaining or acquiring key relationships, our ability to maintain or increase premiums written or the ability to sell our products could be adversely impacted. Because of the competitive nature of the insurance industry, there can be no assurance that we will continue to compete effectively within our industry, or that competitive pressures will not have a material effect on our business, results of operations or financial condition. If we fail to remain competitive on customer experience, pricing, and insurance coverage options, our ability to grow our business may also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are many other factors that could negatively affect our ability to maintain or grow our customer base, including if:</w:t>
      </w:r>
    </w:p>
    <w:p>
      <w:pPr>
        <w:spacing w:after="0" w:line="171" w:lineRule="exact"/>
        <w:rPr>
          <w:sz w:val="20"/>
          <w:szCs w:val="20"/>
          <w:color w:val="auto"/>
        </w:rPr>
      </w:pPr>
    </w:p>
    <w:p>
      <w:pPr>
        <w:ind w:right="400" w:firstLine="8"/>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offer new and competitive products, or fail to obtain regulatory approvals necessary for expansion into new markets or in relation to our products (such as underwriting and rating requirements);</w:t>
      </w:r>
    </w:p>
    <w:p>
      <w:pPr>
        <w:spacing w:after="0" w:line="116" w:lineRule="exact"/>
        <w:rPr>
          <w:rFonts w:ascii="Arial" w:cs="Arial" w:eastAsia="Arial" w:hAnsi="Arial"/>
          <w:sz w:val="18"/>
          <w:szCs w:val="18"/>
          <w:color w:val="auto"/>
        </w:rPr>
      </w:pPr>
    </w:p>
    <w:p>
      <w:pPr>
        <w:ind w:right="100" w:firstLine="8"/>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realize profits, retain customers, contract with additional partners to utilize products, or achieve other benefits from our embedded insurance offering;</w:t>
      </w:r>
    </w:p>
    <w:p>
      <w:pPr>
        <w:spacing w:after="0" w:line="116" w:lineRule="exact"/>
        <w:rPr>
          <w:rFonts w:ascii="Arial" w:cs="Arial" w:eastAsia="Arial" w:hAnsi="Arial"/>
          <w:sz w:val="18"/>
          <w:szCs w:val="18"/>
          <w:color w:val="auto"/>
        </w:rPr>
      </w:pPr>
    </w:p>
    <w:p>
      <w:pPr>
        <w:ind w:right="460" w:firstLine="8"/>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website and our mobile app;</w:t>
      </w:r>
    </w:p>
    <w:p>
      <w:pPr>
        <w:spacing w:after="0" w:line="116" w:lineRule="exact"/>
        <w:rPr>
          <w:rFonts w:ascii="Arial" w:cs="Arial" w:eastAsia="Arial" w:hAnsi="Arial"/>
          <w:sz w:val="18"/>
          <w:szCs w:val="18"/>
          <w:color w:val="auto"/>
        </w:rPr>
      </w:pPr>
    </w:p>
    <w:p>
      <w:pPr>
        <w:ind w:right="120" w:firstLine="8"/>
        <w:spacing w:after="0" w:line="259"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digital platform experiences disruptions; technical or other problems frustrate the customer experience, particularly if those problems prevent us from generating quotes or paying claims in a fast and reliable manner; we fail to provide effective updates to our existing products or to keep pace with technological improvements in our industry; or customers have difficulty installing, updating or otherwise accessing our app or website on mobile devices or web browsers as a result of actions by us or third parties;</w:t>
      </w:r>
    </w:p>
    <w:p>
      <w:pPr>
        <w:spacing w:after="0" w:line="132"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right="220" w:firstLine="8"/>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customers are unable or unwilling to adopt or embrace new technology or the perception emerges that purchasing insurance products online is not as effective as purchasing those products through traditional offline methods;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unable to address customer concerns regarding the content, privacy, and security of our digital platform.</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inability to overcome these challenges could impair our ability to attract new customers and retain existing customers and could have a material adverse effect on our business, operating results and financial condition.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or to satisfy our regulatory capital and surplus requirements, and this capital might not be available on acceptable terms, if at all.</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spacing w:after="0" w:line="1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Further, if the trading price of our Class A common stock remains depressed or declines further, the potential magnitude of this dilution will increase. As an insurance company, we are subject to extensive laws and regulations in every jurisdiction in which we conduct business, and any such issuances of equity or convertible debt securities to secure additional funds may be impeded by regulatory approvals or requirements imposed by such regulatory authorities if such issuances are deemed to result in a person acquiring “control” of our company under applicable insurance laws and regulations. Such regulatory requirements may require potential investors to disclose their organizational structure and detailed financial statements as well as require managing partners, directors and/or senior officers to submit biographical affidavits which may deter investment in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Further, we are restricted by covenants in our Credit Agreement (as defined herein). These covenants restrict, among other things, our ability to incur additional debt without lender consent or grant liens over our assets, which may limit our ability to obtain additional funds.</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COVID-19 pandemic has caused disruption to our operations and may negatively impact our business, key metrics, and results of operations in numerous ways that remain unpredictable.</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has been and may continue to be impacted by the effects of the outbreak of the novel strain of coronavirus, or COVID-19, which was declared a global pandemic in March 2020. The COVID-19 pandemic and governmental responses thereto have impacted and may further impact the broader economies of affected countries, including creating or exacerbating supply chain disruptions and inflation and negatively impacting economic growth, the proper functioning of financial and capital markets, foreign currency exchange rates, and interest rates. It is possible that the pandemic and governmental responses thereto will cause increased inflation, an economic slowdown of potentially extended duration, as well as a global recession. The COVID-19 pandemic and governmental responses thereto have resulted, and could further result in, an increase in costs associated with claims under our policies, including the cost to repair or replace vehicles, as well as an increase in the number of customers experiencing difficulty paying premiums, any of which could have a material adverse effect on our business and results of operations.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Though we continue to monitor the COVID-19 pandemic closely, due to the continued developments, including as a result of new variants, the global breadth of its spread, the range of governmental and community reactions thereto and any delays in wide distribution, or public acceptance, of vaccines (including boosters), there is considerable uncertainty around its duration and ultimate impact. Even after the COVID-19 pandemic subsides, the U.S. economy and other major global economies may experience severe economic aftereffects, such as increased inflation and/or a recession, and we anticipate our business and operations could be materially adversely affected by either in the United States. The impact of the pandemic may also exacerbate the other risks described in these Risk Factors, and additional impacts may arise that we are not currently aware of, any of which could have a material effect on us. In addition, if there is a future resurgence of COVID-19 or the emergence of another pandemic, these negative impacts on our business may be further exacerbated. As a result, the full extent of the impact of the pandemic on our overall financial and operating results, whether in the near or long term, cannot be reasonably estimated at this time.</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driving behavior data and utilize telematics. If legislation were to restrict our ability to collect driving behavior data, it could impair our capacity to underwrite insurance cost effectively, negatively impacting our revenue and earnings. In addition, if federal, state or international regulators were to determine that the type of data we collect, the process we use for collecting this data or how we use it unfairly discriminates against a protected class of people, regulators could move to prohibit or restrict our collection or use of this data.</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Due to Proposition 103 in California, we are currently limited in our ability to use telematics data beyond miles-driven to underwrite insurance, including data on how the car is driven. This has significantly hindered our ability to offer cost-competitive insurance policies in California and could impede our ability to offer insurance policies in other states if they were to pass similar laws or regulations.</w:t>
      </w:r>
    </w:p>
    <w:p>
      <w:pPr>
        <w:spacing w:after="0" w:line="13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Although there is currently limited federal and state legislation outside of California restricting our ability to collect driving behavior data, private organizations are implementing principles and guidelines to protect driver privacy. The Alliance of Automobile Manufacturers and Global Automakers established their Consumer Privacy Protection Principles to provide member automobile manufacturers with a framework with which to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privacy and build privacy into their products and services while the National Automobile Dealers Association has partnered with the Future of Privacy Forum to produce consumer education guidelines that explain the kinds of information that may be collected by consumers’ cars, the guidelines that governs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driver data, particularly through driver’s smartphones, such legislation could have a material adverse effect on our business, financial condition or results of operations.</w:t>
      </w:r>
    </w:p>
    <w:p>
      <w:pPr>
        <w:spacing w:after="0" w:line="12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Some regulators have expressed interest in the use of external data sources, algorithms and/or predictive models in insurance underwriting or rating. Specifically, regulators have raised questions about the potential for unfair discrimination and lack of transparency associated with the use of external consumer data. A determination by federal or state regulators that the data points we collect and the process we use for collecting data unfairly discriminates against a protected class of people could subject us to fines and other sanctions, including, but not limited to, disciplinary action, revocation and suspension of licenses, regulatory fines and other sanctions, and withdrawal of product forms. Any such event could, in turn, materially and adversely affect our business, financial condition, results of operations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w:t>
      </w:r>
    </w:p>
    <w:p>
      <w:pPr>
        <w:spacing w:after="0" w:line="1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the National Association of Insurance Commissioners, or NAIC, announced on July 23, 2020 the formation of a new Race and Insurance Special Committee, or the Special Committee. The Special Committee is tasked with analyzing the level of diversity, equity and inclusion within the insurance sector, identifying current practices in the insurance industry that disadvantage minorities and making recommendations to increase diversity, equity and inclusion within the insurance sector and address practices that disadvantage minorities. The Special Committee may look into strengthening unfair discrimination laws, such as prohibiting the use of credit scores in the underwriting of auto insurance. Any new unfair discrimination legislation that would prohibit us from using data that we currently use or plan to use in the future to underwrite insurance could negatively impact our business.</w:t>
      </w:r>
    </w:p>
    <w:p>
      <w:pPr>
        <w:spacing w:after="0" w:line="1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Regulators may also require us to disclose the external data we use, algorithms and/or predictive models prior to approving our underwriting models and rates. Such disclosures could put our intellectual property at risk.</w:t>
      </w:r>
    </w:p>
    <w:p>
      <w:pPr>
        <w:spacing w:after="0" w:line="1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Additionally, existing laws, such as the California Consumer Privacy Act, or the CCPA, future laws, and evolving attitudes about privacy protection may impair our ability to collect, use, and maintain data points of sufficient type or quantity to develop and train our algorithms. If such laws or regulations were enacted federally or in a large number of states in which we operate, it could impact the integrity and quality of our pricing and underwriting processes.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maintain an effective embedded insurance product and/or fail to perform under the associated commercial arrangements.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entered into a commercial agreement with Carvana on October 1, 2021, in which the parties agreed to develop an integrated automobile insurance solution for Carvana’s online car buying platform, and we will pay commissions to Carvana for insurance policies purchased by Carvana customers. The commercial agreement includes exclusivity rights to offer automobile insurance on Carvana’s platform, and we will partner exclusively with Carvana for an enterprise total loss replacement vehicle solution. In addition, we are pursuing commercial arrangements with other potential partners to utilize an embedded insurance offering. If we or our commercial counterparties, including Carvana, are unable to satisfy obligations under commercial arrangements, if we are unable to maintain an effective embedded insurance product, if we are unable to contract with additional partners to utilize the product, or if our embedded partners experience difficulty with their businesses or if they or we are unable to attract insurance customers, that could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260"/>
        <w:spacing w:after="0" w:line="327" w:lineRule="auto"/>
        <w:rPr>
          <w:sz w:val="20"/>
          <w:szCs w:val="20"/>
          <w:color w:val="auto"/>
        </w:rPr>
      </w:pPr>
      <w:r>
        <w:rPr>
          <w:rFonts w:ascii="Arial" w:cs="Arial" w:eastAsia="Arial" w:hAnsi="Arial"/>
          <w:sz w:val="15"/>
          <w:szCs w:val="15"/>
          <w:b w:val="1"/>
          <w:bCs w:val="1"/>
          <w:i w:val="1"/>
          <w:iCs w:val="1"/>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w:t>
      </w:r>
    </w:p>
    <w:p>
      <w:pPr>
        <w:spacing w:after="0" w:line="8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success depends on our ability to attract consumers to our website and convert them into customers in a rapid and cost-effective manner through our mobile app. We depend in large part on search engines, social media platforms, digital app stores, content-based online advertising and other online sources for traffic to our website and our mobile app, which are material sources for new consumers.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our expenses could rise if we have to pay a higher price for such listings or if the alternatives we find are more expensive, or we could lose consumers and traffic to our website, any of which could have a material adverse effect on our business, results of operations and financial condition. For free search listings, if search engines on which we rely for algorithmic listings modify their algorithms, our websites may appear less prominently or not at all in search results, which could result in reduced traffic to our websites, and fewer new customers.</w:t>
      </w:r>
    </w:p>
    <w:p>
      <w:pPr>
        <w:spacing w:after="0" w:line="1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are likely to suffer. In addition, if our online display advertisements are no longer effective or are not able to reach certain consumers due to consumers’ use of ad-blocking software, our business and operating results could suffer.</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or DASHBOARD, Act would mandate annual disclosure to the Securities and Exchange Commission, or the SEC, of the type and “aggregate value” of user data used by harvesting companies, such as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From time to time (including in 2022), competition for limited and/or high-value advertising space from our competitors or other companies can result in increases in the costs we incur in our marketing efforts. These increases to our customer acquisition costs depend on a number of factors outside of our control and can negatively affect our business and operating results.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marketing of our insurance products depends on our ability to cultivate and maintain cost-effective and otherwise satisfactory relationships with digital app stores, in particular, those operated by Google and Apple. As we grow, we may struggle to maintain cost-effective marketing strategies, and our customer acquisition costs could 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substantially. Furthermore, because many of our customers access our insurance products through a mobile app, we depend on the Apple App Store and the Google Play Store to distribute our mobile app.</w:t>
      </w:r>
    </w:p>
    <w:p>
      <w:pPr>
        <w:spacing w:after="0" w:line="1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the terms of service and policies governing the operating system platforms on which our mobile app runs and the application stores through which we distribute our mobile app, such as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how that data is used and shared, and limit how mobile app publishers advertise online.</w:t>
      </w:r>
    </w:p>
    <w:p>
      <w:pPr>
        <w:spacing w:after="0" w:line="13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Additionally, limitations on our ability to collect, use or share telematics and other data derived from customer activities on smartphones, as well as new technologies that block our ability to collect, use or share such data, could significantly diminish the value of our platform and have an adverse effect on our ability to generate revenue.</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Limitations or blockages on our ability to collect, use or share data derived from use of our mobile app may also restrict our ability to analyze such data to facilitate our product improvement, research and development and advertising activities. For example, in 2021, Apple implemented a requirement for applications using its mobile operating systems to obtain an end-user’s permission to track them or access their device’s advertising identifier for advertising and advertising measurement purposes, as well as other restrictions that could adversely affect our business.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and financial condition could be adversely affected.</w:t>
      </w:r>
    </w:p>
    <w:p>
      <w:pPr>
        <w:spacing w:after="0" w:line="103"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Furthermore, one of the factors we use to evaluate our customer satisfaction and market position is our Apple App Store ratings. This rating, however, may not be a reliable indicator of our customer satisfaction relative to other companies who are rated on the Apple App Store since, to date, we have received a fraction of the number of reviews of some of the companies we benchmark against, and thus our number of positive reviews may not be as meaningful.</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expansion within the United States will subject us to additional regulatory approvals and costs and risks, and our plans may not be successful.</w:t>
      </w:r>
    </w:p>
    <w:p>
      <w:pPr>
        <w:spacing w:after="0" w:line="20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success depends in significant part on our ability to expand into additional markets in the United States. We currently hold Certificates of Authority in 50 states and the District of Columbia and operate in 34 of those states. We plan to have a presence in all 50 states and the District of Columbia, but cannot guarantee that we will be able to provide nationwide coverage on that timeline or at all. Generally, regulators in states in which our applications were withdrawn preferred that we seek approval at such time that we could demonstrate an underwriting profit and/or willingness to commit to a risk-based capital position greater than what had been required by the Ohio Department of Insurance, or the Ohio DOI.</w:t>
      </w:r>
    </w:p>
    <w:p>
      <w:pPr>
        <w:spacing w:after="0" w:line="12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we seek to expand in the United States, we may incur significant operating expenses, including expenses in connection with securing applicable regulatory approvals, marketing, hiring additional personnel, engaging third-party service providers and other research and development costs. If we invest substantial time and resources to expand our operations while our revenues from those additional operations do not exceed the expense of establishing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maintaining them, or if we are unable to manage these risks effectively, our business, results of operations and financial condition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Moreover, our expansion may not be successful for a variety of reasons, including because of:</w:t>
      </w:r>
    </w:p>
    <w:p>
      <w:pPr>
        <w:spacing w:after="0" w:line="171" w:lineRule="exact"/>
        <w:rPr>
          <w:sz w:val="20"/>
          <w:szCs w:val="20"/>
          <w:color w:val="auto"/>
        </w:rPr>
      </w:pPr>
    </w:p>
    <w:p>
      <w:pPr>
        <w:ind w:right="60" w:firstLine="8"/>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or more states could revoke our license to operate, or implement additional regulatory hurdles that could preclude or inhibit our ability to obtain or maintain our license in such state;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failures in identifying and entering into joint ventures with strategic partners, or entering into joint ventures that do not produce the desired results;</w:t>
      </w:r>
    </w:p>
    <w:p>
      <w:pPr>
        <w:spacing w:after="0" w:line="182" w:lineRule="exact"/>
        <w:rPr>
          <w:rFonts w:ascii="Arial" w:cs="Arial" w:eastAsia="Arial" w:hAnsi="Arial"/>
          <w:sz w:val="17"/>
          <w:szCs w:val="17"/>
          <w:color w:val="auto"/>
        </w:rPr>
      </w:pPr>
    </w:p>
    <w:p>
      <w:pPr>
        <w:ind w:right="260" w:firstLine="8"/>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and the cost of, complying with various laws and regulatory standards, including with respect to the insurance business and insurance distribution, capital and outsourcing requirements, data privacy, tax and local regulatory restrictions;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recruiting and retaining licensed, talented and capable employees;</w:t>
      </w:r>
    </w:p>
    <w:p>
      <w:pPr>
        <w:spacing w:after="0" w:line="171" w:lineRule="exact"/>
        <w:rPr>
          <w:rFonts w:ascii="Arial" w:cs="Arial" w:eastAsia="Arial" w:hAnsi="Arial"/>
          <w:sz w:val="18"/>
          <w:szCs w:val="18"/>
          <w:color w:val="auto"/>
        </w:rPr>
      </w:pPr>
    </w:p>
    <w:p>
      <w:pPr>
        <w:ind w:right="280" w:firstLine="8"/>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local incumbents that already own market share, better understand the local market,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demand dynamics, which may make our product offerings less successful;</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repatriation and investment of funds.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fail to grow our geographic footprint or geographic growth occurs at a slower rate than expected, our business, results of operations and financial condition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platform may not operate properly or as we expect it to operate.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unforeseen difficulties including material performance problems or undetected defects or errors. We may encounter technical obstacles, and it is possible that we may discover additional problems that prevent our technology from operating properly. If our platform does not function reliably, we may incorrectly select our customers, incorrectly price insurance products for our customers or incorrectly pay or deny claims made by our customers. These errors could cause us to select an uneconomic mix of customers, encounter customer dissatisfaction, which could lead customers to cancel or fail to renew their insurance policies with us or make it less likely that prospective customers obtain new insurance policies, underprice policies or overpay claims, or incorrectly deny policyholder claims and become subject to liability. Additionally, technology platform errors may lead to unintentional bias and discrimination in the underwriting process, which could subject us to legal or regulatory liability and harm our brand and reputation. Any of these eventualities could result in a material adverse effect on our business, results of operations and financial condition.</w:t>
      </w:r>
    </w:p>
    <w:p>
      <w:pPr>
        <w:spacing w:after="0" w:line="11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While we believe our telematics-based pricing model to be more fair to consumers, it may yield results that customers find unfair. For instance, we may quote certain drivers higher premiums than our competitors, if our model determines that the driver is higher risk even though their higher-risk driving has not resulted in a claim. Such perception of unfairness could negatively impact our brand and reputation.</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Regulators may limit our ability to develop or implement our telematics-based pricing model and/or may eliminate or restrict the confidentiality of our proprietary technology.</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future success depends on our ability to continue to develop and implement our telematics-based pricing model, and to maintain the confidentiality of our proprietary technology. Changes to existing regulations, their interpretation or implementation, or new regulations could impede our use of this technology or require that we disclose our proprietary technology to our competitors, which could negatively impact our competitive position and result in a material adverse effect on our business, results of operations, and financial condition.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California voters recently approved the California Privacy Rights and Enforcement Act, or the CPRA, which will become effective January 1, 2023, and which affords California residents significantly more control over their personal information, including the right to information about the logic of certain algorithmic decisions about them and the right to opt-out of such decisions, imposes heightened compliance obligations on covered businesses and establishes a new enforcement agency dedicated to consumer privacy. The CPRA mandates issuance of regulations which could require disclosure of our proprietary technology, limit the effectiveness of our products and reduce demand for them.</w:t>
      </w:r>
    </w:p>
    <w:p>
      <w:pPr>
        <w:spacing w:after="0" w:line="12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are subject to full scope financial examinations by state insurance regulatory authorities in each state in which one of our domestic insurance company subsidiaries is domiciled, which could result in adverse examination findings and necessitate remedial actions.</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State insurance regulators perform examinations of insurance companies under their jurisdiction to assess compliance with applicable laws and regulations, financial condition and the conduct of regulated activities at least every three to five years. Root Insurance Company is Ohio-domiciled and has completed, its first financial examination with the Ohio DOI, which includes a review of the Company’s financials, governance, and operations, including its relationships and transactions with affiliates, and a specific examination of our pricing and underwriting methodologies and our regulatory capital. Similarly, Root Property &amp; Casualty is a Delaware-domiciled insurer and completed a similar financial examination by the Delaware DOI. If, as a result of examinations, our regulators determine that our financial condition, capital resources or other aspects of any of our operations are not satisfactory, or that we have violated applicable laws or regulations, such regulator may subject us to fines or other penalties and/or require us to take one or more remedial actions or otherwise subject us to regulatory scrutiny, such as pursuant to an enforcement action or, in the case of regulatory capital, require us to maintain additional capital. The results of the examinations are a matter of public record, and our reputation may also be harmed by such penalties.</w:t>
      </w:r>
    </w:p>
    <w:p>
      <w:pPr>
        <w:spacing w:after="0" w:line="11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are subject to market conduct examinations by state insurance regulatory authorities in any state in which our domestic insurance subsidiaries issue insurance policies, which could result in adverse examination findings and necessitate remedial actions.</w:t>
      </w:r>
    </w:p>
    <w:p>
      <w:pPr>
        <w:spacing w:after="0" w:line="9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domestic insurance subsidiaries are also subject to other investigations or inquiries, including market conduct examinations, in any state in which they issue policies. These examinations can result in fines and other monetary penalties, as well as other regulatory orders requiring remedial, injunctive, or other corrective action. For example, Root Insurance Company is currently subject to a market conduct examination by the Virginia State Corporation Commission’s Bureau of Insurance. Any regulatory or enforcement action or any regulatory order imposing remedial, injunctive, or other corrective action against us resulting from this examination could have a material adverse effect on our business, reputation, financial condition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loss activity and regulation may be greater in states where we currently have most of our customers: Texas, Georgia and Colorado.</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Approximately 35.4% of our gross premiums written for the year ended December 31, 2022 originated from customers in Texas, Georgia and Colorado. As a result of this concentration, if a significant catastrophe event or series of catastrophe events occur, and cause material losses in Texas, Georgia or Colorado, our business, financial condition and results of operation could be materially adversely affected. Further, as compared to our competitors who operate on a wider geographic scale, any adverse changes in the regulatory environment affecting property and casualty insurance in Texas, Georgia or Colorado may expose us to more significant risks.</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130"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In the United States,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companies to disclose their privacy 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 Insurance companies are also subject to state-specific privacy laws governing the use of particular data. For instance, the Illinois Biometric Information Privacy Act regulates the use and storage of biometric data such as fingerprints in the insurance industry and requires the informed written consent from policyholders if the insurance company intends to collect or disclose their personal biometric identifiers.</w:t>
      </w:r>
    </w:p>
    <w:p>
      <w:pPr>
        <w:spacing w:after="0" w:line="1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Privacy and data security regulation in the United States is rapidly evolving. For example, existing laws, such as the CCPA, which became effective January 1, 2020, future laws, and evolving attitudes about privacy protection may impair our ability to collect, use, and maintain data points of sufficient type or quantity to develop and train our algorithms.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CCPA’s restrictions on “sales” of personal information may restrict our use of cookies and similar technologies for advertising purposes. The CCPA excludes information covered by Gramm-Leach-Bliley Act, the Driver’s Privacy Protection Act or the California Financial Information Privacy Act from the CCPA’s scope, but the CCPA’s definition of “personal information” is broad and may encompass other information that we maintain.</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requirements of the CCPA expanded substantially in January 2023 as a result of California voters approving the CPRA- in November 2020. The CPRA gives California residents the ability to: limit use of precise geolocation information and other categories of information classified as “sensitive”; add e-mail addresses and passwords to the list of personal information that, if lost or breached, would entitle affected individuals to bring private lawsuits; and establish the California Privacy Protection Agency to implement and enforce the new law, as well as impose administrative fines. The effects of the CCPA, the CPRA, and other similar state or federal laws, are potentially significant and may require us to modify our data processing practices and policies, incur substantial compliance costs and subject us to increased potential liability.</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Some observers have noted that the CCPA and the CPRA could mark the beginning of a trend toward more stringent privacy legislation in the United States. There is also discussion in Congress of new comprehensive federal data protection and privacy laws to which we likely would be subject to if enacted. Until an overarching federal privacy law is passed, however, it is anticipated that individual states will continue to adopt or amend state laws and regulations governing data privacy and cybersecurity, which could increase the cost and complexity of our compliance efforts and could impact the integrity and quality of our pricing and underwriting processes.</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Additionally, in response to the growing threat of cyberattacks in the insurance industry, certain jurisdictions have begun to impose new cybersecurity laws and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 number of states have adopted versions of the Insurance Data Security Model Law, each with a different effective date, and other states may adopt versions of the Insurance Data Security Model Law in the future. Also in 2017, the New York State Department of Financial Services adopted regulations providing minimum standards for insurance companies’ cybersecurity programs, requiring an annual certification confirming compliance. In May 2018, South Carolina passed a cybersecurity bill requiring, among other things, any insurance entity operating in the state to establish and implement a cybersecurity program protecting their business and their customers from a data breach, to investigate data breaches and to notify regulators of a cybersecurity event. Some jurisdictions, such as Connecticut, Massachusetts, Nevada and California have enacted more generalized data security laws that apply to certain data that we process. Although we take steps to comply with financial industry cybersecurity regulations and other data security laws and believe we are materially compliant with their requirements, our failure to comply with new or existing cybersecurity regulations could result in material regulatory actions and other penalties. In addition, efforts to comply with new or existing cybersecurity regulations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impose significant costs on our business, which could materially and adversely affect our business, financial condition or results of operations.</w:t>
      </w:r>
    </w:p>
    <w:p>
      <w:pPr>
        <w:spacing w:after="0" w:line="18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Additionally, we are subject to the terms of our privacy policies, privacy-related disclosures, and contractual and other privacy-related obligations to our customers and other third parties. Any failure or perceived failure by us or third parties we work with to comply with these policies, disclosures, and obligations to customers or other third parties, or privacy or data security laws may result in governmental or regulatory investigations, enforcement actions, regulatory fines, criminal compliance orders, litigation or public statements against us by consumer advocacy groups or others, and could cause customers to lose trust in us, all of which could be costly and have an adverse effect on our business.</w:t>
      </w:r>
    </w:p>
    <w:p>
      <w:pPr>
        <w:spacing w:after="0" w:line="122"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may contain or develop material errors, failures, vulnerabilities or bugs, particularly when new features or capabilities are released, and are subject to fraud,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mobile app shutdowns.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From time to time, third parties may misappropriate our data through website scraping, bots or other means and aggregate this data on their websites with data from other companies. In addition, copycat websites or mobile apps may misappropriate data and attempt to imitate our brand or the functionality of our website or our mobile app. If we become aware of such websites or mobile apps, we intend to employ technological or legal measures in an attempt to halt their operations. However, we may be unable to detect all such websites or mobile apps in a timely manner and, even if we could, technological and legal measures may be insufficient to halt their operations.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Many of our services are provided through the Internet which increases our exposure to potential cybersecurity attacks. We have experienced cybersecurity threats to our information technology infrastructure and have experienced non-material cybersecurity attacks, attempts to breach our systems, fraudulent activity and other similar incidents.</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Future threats could cause harm to our business and our reputation and challenge our ability to provide reliable service, as well as negatively impact our results of operations materially. Our insurance coverage may not be adequate to cover all the costs related to cybersecurity attacks or disruptions resulting from such events.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may be compromised as a result of computer malware, viruses, social engineering, ransomware attacks, credential stuffing attacks, hacking and cyberattacks, including by state-sponsored and other sophisticated organizations. Such incidents have become more prevalent in recent years. For example, attempts to fraudulently induce our personnel into disclosing usernames, passwords or other information that can be used to access our systems and the information in them have increased and could be successful. Cybersecurity incidents can also result from malfeasance of our personnel, theft, errors, data leaks, and security vulnerabilities or bugs in our website, mobile apps or the software or systems on which we rely. Cybersecurity incidents have in the past resulted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unauthorized access to certain personal information that we handle, and may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1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rely on third parties to provide critical services that help us deliver our solutions and operate our business. These third parties may support or operate critical business systems for us or store or process the same sensitive, proprietary and confidential information that we handle. They may not have adequate security measures and could experience a cybersecurity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 parties for any resulting liability that we incur.</w:t>
      </w:r>
    </w:p>
    <w:p>
      <w:pPr>
        <w:spacing w:after="0" w:line="10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There are many different cybercrime and hacking techniques and such techniques continue to evolve, and we may be unable to anticipate attempted security breaches, react to cybersecurity incidents in a timely manner or implement adequate preventative measures. 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security breach or other cybersecurity incident, or the perception that one has occurred, could result in a loss of customer confidence in the security of our platform and damage our reputation and brand; reduce demand for our insurance products; disrupt normal business operations; require us to expend significant capital and resources to investigate and remedy the incident and prevent recurrence; and subject us to litigation, regulatory enforcement action, fines, penalties, and other liability, which could have a material adverse effect on our business, financial condition and results of operations. Even if we take steps that we believe are adequate to protect us from cyber threats, hacking against our competitors or other companies in our industry could create the perception among our customers or potential customers that our digital platform is not safe to use. 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In some cases, particularly in the case of websites or mobile apps operating outside of the United States,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brand may not become as widely known or accepted as incumbents’ brands or the brand may become tarnished.</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Many of our competitors have brands that are well-recognized. As a relatively new entrant into the insurance market, we have spent, and expect that we will for the foreseeable future continue to spend, considerable amounts of money and other resources on creating brand awareness and building our reputation. We may not be able to build brand awareness to levels matching our competitors, and our efforts at building, maintaining and enhancing our reputation could fail and/or may not be cost-effective. Complaints or negative publicity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could adversely affect our reputation and business. As we expand our product offerings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enter new markets, we will need to establish our reputation with new customers, and to the extent we are not successful in creating positive impressions, our business in these newer markets could be adversely affected. While we may choose to engage in a broader marketing campaign to further promote our brand, this effort may not be successful or cost effective. If we are unable to maintain or enhance our reputation or enhance consumer awareness of our brand in a cost-effective manner, our business, results of operations and financial condition could be materially adversely affected.</w:t>
      </w:r>
    </w:p>
    <w:p>
      <w:pPr>
        <w:spacing w:after="0" w:line="103"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and experienced personnel and, if we are unable to hire and train a sufficient number of qualified employees for any reason, we may not be able to maintain or implement our current initiatives, or our business may contract and we may lose market share. We have implemented involuntary workforce reductions in the past, which may have harmed our reputation and relationship with our employees and may make it more difficult for us to recruit top talent, and we may implement workforce reductions in the future to support other business objectives. We have experienced the effects of the current competitive labor market and our workforce reductions and have responded by increasing wages and/or benefits in certain circumstances and provided cash and equity to retain certain employees in order to attract and retain employees, all of which may continue to negatively impact our results of operations. Moreover, certain of our competitors or other insurance or technology businesses may seek to hire our employees. We cannot assure you that our cash and equity incentives and other compensation and benefits will provide adequate incentives to attract, retain and motivate employees in the future, particularly if the market price of our Class A common stock does not increase or declines further. In addition, our ability to attract, retain and motivate employees may be impacted by our recent workforce reductions. If we do not succeed in attracting, retaining and motivating highly qualified personnel, our business may be seriously harmed.</w:t>
      </w:r>
    </w:p>
    <w:p>
      <w:pPr>
        <w:spacing w:after="0" w:line="1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depend on our senior management, including Alexander Timm, our Chief Executive Officer. We have experienced turnover among our senior management and employees. We may not be able to retain the services of any of our senior management or other key personnel, as their employment is at-will and they could leave at any time. If we lose the services of one or more of our senior management and other key personnel, including as a result of our workforce reductions or our business results, we may not be able to successfully manage our business, meet competitive challenges or achieve our business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New legislation or legal requirements may affect how we communicate with our customers, which could have an adverse effect on our business model, financial condition, and results of operations.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State and federal lawmakers and insurance regulators are focusing on the use of artificial intelligence broadly, including, in particular, concerns about transparency, deception, and fairness. For instance, on August 24, 2020 the NAIC adopted guiding principles on artificial intelligence developed by the NAIC’s AI Working Group to provide guidance to regulators on the use of artificial intelligence in the insurance industry. In addition, legislation regulating the use of artificial intelligence has been enacted in several states and has been proposed on the federal level. Changes in laws or regulations, or changes in the interpretation of laws or regulations by a regulatory authority, specific to the use of artificial intelligence, may decrease our revenues and earnings and may require us to change the manner in which we conduct some aspects of our business. We may also be required to disclose our proprietary software to regulators, putting our intellectual property at risk, in order to receive regulatory approval to use such artificial intelligence in the underwriting of insurance and/or the payment of claims. In addition, our business and operations are subject to various U.S. federal, state, and local consumer protection laws, including laws which place restrictions on the use of automated tools and technologies to communicate with wireless telephone subscribers or consumers generally. For example, California’s Bolstering Online Transparency Act, effective as of July 2019, makes it unlawful for any person to use a bot to communicate with a person in California online with the intent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mislead the other person about the bot’s artificial identity for the purpose of knowingly deceiving the person about the content of the communication in order to incentivize a purchase of goods or services in a commercial transaction. Although we have taken steps to mitigate our liability for violations of this and other laws restricting the use of electronic communication tools, no assurances can be given that we will not be exposed to civil litigation or regulatory enforcement. Further, to the extent that any changes in law or regulation further restrict the ways in which we communicate with prospective or current customers before or during onboarding, customer care, or claims management, these restrictions could result in a material reduction in our customer acquisition and retention, reducing the growth prospects of our business, and adversely affecting our financial condition and future cash flows.</w:t>
      </w:r>
    </w:p>
    <w:p>
      <w:pPr>
        <w:spacing w:after="0" w:line="1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Denial of claims or our failure to accurately and timely pay claims could materially and adversely affect our business, financial condition, results of operations, and prospects.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terms of our policies, we are required to accurately and timely evaluate and pay claims. Our ability to do so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marketplace. If our claims adjusters or third-party claims administrators are unable to effectively process our volume of claims, our ability to grow our business while maintaining high levels of customer satisfaction could be compromised, which in turn, could adversely affect our operating margins. Any failure to pay claims accurately or timely could also lead to regulatory and administrative actions or other legal proceedings and litigation against us, or result in damage to our reputation, any one of which could materially and adversely affect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Unexpected increases in the frequency or severity of claims may adversely affect our results of operations and financial condition.</w:t>
      </w:r>
    </w:p>
    <w:p>
      <w:pPr>
        <w:spacing w:after="0" w:line="17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Our business may experience volatility in claim frequency from time to time, and short-term trends may not continue over the longer term. Changes in claim frequency may result from changes in mix of business, miles driven, distracted driving, weather, pandemics, macroeconomic or other factors. A significant increase in claim frequency could have an adverse effect on our results of operations and financial condition.</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Changes in bodily injury claim severity are impacted by inflation in medical costs, litigation trends and precedents, regulation and the overall safety of automobile travel. Changes in auto property damage claim severity are driven primarily by inflation in the cost to repair or replace vehicles, including parts and labor rates, the mix of vehicles that are declared total losses, model year mix as well as used car values. While actuarial models for pricing and reserving typically include an expected level of inflation, unanticipated increases in claim severity can arise from events that are inherently difficult to predict such as inflationary shocks or surges in health care costs. Although we pursue various loss management initiatives to mitigate future increases in claim severity, there can be no assurances that these initiatives will successfully identify or reduce the effect of future increases in claim severity.</w:t>
      </w:r>
    </w:p>
    <w:p>
      <w:pPr>
        <w:spacing w:after="0" w:line="1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Failure to maintain our risk-based capital at the required levels could adversely affect our ability to maintain regulatory authority to conduct our business.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required to have sufficient capital and surplus in order to comply with insurance regulatory requirements, support our business operations and minimize our risk of insolvency. The NAIC has developed a system to test the adequacy of statutory capital and surplus of U.S.-based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risk-based capital. An insurer’s risk-based capital ratio measures the relationship between its total adjusted capital and its authorized control level risk-based capital.</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Insurers with a ratio falling below certain calculated thresholds may be subject to varying degrees of regulatory action, including heightened supervision, examination, rehabilitation or liquidation.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insurer’s total adjusted capital falls below 70% of its authorized control level risk-based capital), an insurer’s primary regulator is required to take steps to place the insurer into receivership.</w:t>
      </w:r>
    </w:p>
    <w:p>
      <w:pPr>
        <w:spacing w:after="0" w:line="13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the NAIC Insurance Regulatory Information System, or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NAIC for any number of reasons, it could subject us to heightened regulatory scrutiny or measures or create investor uncertainty around the stability of our financial condition, which could harm our business. We have disclosed to the Ohio DOI that certain of our ratios fall outside the usual range for one or more IRIS ratio factors. The Ohio DOI has acknowledged this and taken no regulatory action, although there can be no assurance that the Ohio DOI will not do so in the future.</w:t>
      </w:r>
    </w:p>
    <w:p>
      <w:pPr>
        <w:spacing w:after="0" w:line="12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Conditions Standards, it could subject us to heightened regulatory scrutiny or measures or create uncertainty around the stability of our financial condition, which could harm our business. The Ohio DOI has determined that our financial condition does meet certain of those standards and requires us to provide the Ohio DOI with monthly financial reports. The South Carolina Department of Insurance and the Florida Office of Insurance Regulation also require the provision of monthly financial reports.</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Similarly, our wholly-owned, Cayman Islands-based captive reinsurer, Root Re, is subject to additional capital and other regulatory requirements imposed by the CIMA. Although these capital requirements are generally less constraining than U.S. capital requirements, failure to satisfy these requirements could result in regulatory actions from the CIMA or loss of or modification of Root Re’s Class B(iii) insurer license, which could adversely impact our ability to improve our overall capital efficiency and support our “capital-efficient” model.</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a new entrant to the insurance industry, we may face additional capital and surplus requirements as compared to those of our larger and more established competitors. Failure to maintain adequate risk-based capital at the required levels could result in increasingly onerous reporting and examination requirements and could adversely affect our ability to maintain regulatory authority to conduct our business.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prevent, monitor or detect fraudulent activity, including policy acquisitions or payments of claims that are fraudulent in nature, or fraud that may be perpetrated by employees or external parties.</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by customers, purported customers and/or claimants have been relatively isolated, we cannot be certain that our systems and processes will always be adequate in the face of increasingly sophisticated and ever-changing fraud schemes. We use a variety of tools to protect against fraud, but these tools may not always be successful at preventing such fraud. Instances of fraud may result in increased costs, including possible settlement and litigation expenses, and could have a material adverse effect on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2023, we filed suit against a former senior marketing employee and other defendants to recover approximately $10 million of funds we believe were misappropriated, but there can be no guarantee that we will be able to recover any funds from such former employee or the other defendants. While we maintain insurance coverage to protect us against such loss, our coverage is less than the amount of that loss and may be insufficient or inadequate to cover future losses.</w:t>
      </w:r>
    </w:p>
    <w:p>
      <w:pPr>
        <w:spacing w:after="0" w:line="13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rely on our mobile application to execute our business strategy. Government regulation of the internet and the use of mobile applications in particular is evolving, and unfavorable changes could seriously harm our business.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on our mobile application to execute our business strategy. We are subject to general business regulations and laws as well as federal and state regulations and laws specifically governing the internet and the use of mobile applications in particular. Existing and future laws and regulations may impede the growth of the internet or other online services and increase the cost of providing online services. These regulations and laws may involve taxes, tariffs, privacy and data security, anti-spam, content protection, electronic contracts and communications, electronic signatures and consents, consumer protection and social media marketing. It is at times not clear how existing laws governing issues such as property ownership, sales and other taxes and consumer privacy apply to the internet and the use of mobile applications in particular, as the vast majority of these laws were adopted prior to the advent of the internet and the use of mobile applications and do not contemplate or address the unique issues raised by the internet. It is possible that general business regulations and laws, or those specifically governing the internet and the use of mobile applications in particular, may be interpreted and applied in a manner that is inconsistent from one jurisdiction to another and may conflict with other rules or our practices. We cannot be sure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application or website by consumers and suppliers and may result in the imposition of monetary liability. We may also be contractually liable to indemnify and hold harmless third parties from the costs or consequences of non-compliance with any such laws or regulations.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services and brand.</w:t>
      </w:r>
    </w:p>
    <w:p>
      <w:pPr>
        <w:spacing w:after="0" w:line="18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trade secrets, trademarks, copyrights, patents, know-how, and other intellectual property rights are important assets for us, in the United States and other jurisdictions.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available. Also, the efforts we have taken to protect our intellectual property rights may not be sufficient or effective, especially in foreign jurisdictions, and any of our intellectual property rights may be challenged, which could result in them being narrowed in scope or declared invalid or unenforceable. Despite our efforts to protect our proprietary rights, there can be no assurance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and other third parties that place restrictions on the use and disclosure of this intellectual property. These agreements may not adequately protect our trade secrets, these agreements may be breached, or this intellectual property, including trade secrets, may otherwise be disclosed or become known to our competitors, which could cause us to lose any competitive advantage resulting from this intellectual property. To the extent that our employees, independent contractors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 and services by copying functionality.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and competitive position.</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 In addition, other parties may independently develop similar or competing technologies designed around any patents or patent applications that we hold. Some of our products and technologies are not covered by any patent or patent application. A failure to timely seek patent protection on products or technologies generally precludes us from seeking future patent protection on these products or technologies.</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currently hold various domain names relating to our brand, including root.com, rootinsurance.com and root-enterprise.com. Failure to protect our domain names could adversely affect our reputation and brand and make it more difficult for users to find our website and our mobile app. We may be unable, without significant cost or at all, to prevent third parties from acquiring domain names that are similar to, infringe upon or otherwise decrease the value of our trademarks and other proprietary rights.</w:t>
      </w:r>
    </w:p>
    <w:p>
      <w:pPr>
        <w:spacing w:after="0" w:line="13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 from third parties to develop and market new offerings or platform features, which may not be on commercially reasonable terms or at all and could adversely affect our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4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to attract customers may be adversely affected. Any inability or failure to protect our intellectual property could adversely impact our business, results of operations and financial condition.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strategic partners, we cannot assure you that these agreements will be effective in controlling access to, and use and distribution of, our products and proprietary information. Further, these agreements do not prevent our competitors from independently developing technologies that are substantially equivalent or superior to our offerings.</w:t>
      </w:r>
    </w:p>
    <w:p>
      <w:pPr>
        <w:spacing w:after="0" w:line="1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use open source software in our products and services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proprietary technology or other intellectual property rights could harm our business.</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Companies in the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From time to time, third parties may assert claims of infringement of intellectual property rights against us. Although we believe that we will likely have meritorious defenses, there can be no assurance that we will be successful in defending against these allegations or in reaching a business resolution that is satisfactory to us. Our competitors and others may now and in the future have significantly larger and more mature patent portfolios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1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our customers were to claim that the policies they purchased failed to provide adequate or appropriate coverage, we could face claims that could harm our business, results of operations and financial condition.</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aim to provide adequate and appropriate coverage under each of our policies, customers could purchase policies that prove to be inadequate or inappropriate. If such customers were to bring a claim or claims alleging that we failed in our responsibilities to provide them with the type or amount of coverage that they sought to purchase, we could be found liable for amounts significantly in excess of the policy limit, resulting in an adverse effect on our business, results of operations and financial condition. While we maintain agents’ errors and omissions insurance coverage to protect us against such liability, such coverage may be insufficient or inadequate.</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underwrite risks accurately or charge competitive yet profitable rates to our customers, our business, results of operations and financial condition will be adversely affected.</w:t>
      </w:r>
    </w:p>
    <w:p>
      <w:pPr>
        <w:spacing w:after="0" w:line="11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as evaluated and curated by our technology-based pricing platform.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results of operations and our profitability.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 customers and lower revenues, which could have a material adverse effect on our business, results of operations and financial condition.</w:t>
      </w:r>
    </w:p>
    <w:p>
      <w:pPr>
        <w:spacing w:after="0" w:line="13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spacing w:after="0" w:line="9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collect and properly analyze a substantial volume of data from our customers;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test and apply appropriate actuarial projections and rating formulas;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evaluate competitive product offerings and pricing dynamics;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closely monitor and timely recognize changes in trends;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project both frequency and severity of our customers’ losses with reasonable accuracy.</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assurances that we will have success in implementing our pricing methodology accurately in accordance with our assumptions. Our ability to accurately price our policies is subject to a number of risks and uncertainties, including:</w:t>
      </w:r>
    </w:p>
    <w:p>
      <w:pPr>
        <w:spacing w:after="0" w:line="11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or unreliable data;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or incomplete analysis of available data;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generally inherent in estimates and assumptions;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implement appropriate actuarial projections and rating formulas or other pricing methodologies;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or incomplete analysis of the competitive environment;</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constraints on rate increases; and</w:t>
      </w:r>
    </w:p>
    <w:p>
      <w:pPr>
        <w:spacing w:after="0" w:line="171" w:lineRule="exact"/>
        <w:rPr>
          <w:rFonts w:ascii="Arial" w:cs="Arial" w:eastAsia="Arial" w:hAnsi="Arial"/>
          <w:sz w:val="18"/>
          <w:szCs w:val="18"/>
          <w:color w:val="auto"/>
        </w:rPr>
      </w:pPr>
    </w:p>
    <w:p>
      <w:pPr>
        <w:ind w:right="640" w:firstLine="8"/>
        <w:spacing w:after="0" w:line="277"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accurately estimate investment yields and the duration of our liability for loss and LAE, as well as unanticipated court decisions, legislation or regulatory action.</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address the potential inadequacy of our current business model, we may be compelled to increase the amount allocated to cover policy claims, increase premium rates or adopt tighter underwriting standards, any of which may result in a decline in new business and renewals and, as a result,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assessments and other surcharges from state guaranty funds, which may reduce our profitability.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subject to statutory property and casualty guaranty fund assessments in many states in which we do business. The purpose of a guaranty fund is to protect customers in a particular state by requiring that solvent property and casualty insurers pay the insurance claims of insolvent insurers in such state. These guaranty associations generally pay these claims by assessing solvent insurers proportionately based on each insurer's share of voluntary premiums written in the state. During the year ended December 31, 2022, the amounts we contributed to such funds were immaterial; however, as we enter new states the amount we are required to contribute may increase materially.</w:t>
      </w:r>
    </w:p>
    <w:p>
      <w:pPr>
        <w:spacing w:after="0" w:line="12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Maximum contributions required by law in any one year vary by state. We cannot predict with certainty the amounts of future assessments because they depend on factors outside our control, such as insolvencies of other insurance companies. Significant assessments due to a rise in insurance insolvencies could have a material adverse effect on our financial condition and results of operations.</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Litigation and legal proceedings filed by or against us and our subsidiaries, including shareholder litigation related to the initial public offering, could have a material adverse effect on our business, results of operations and financial condition, and may divert management’s attention and resources away from our business.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subject to allegations, and may be party to litigation and legal proceedings relating to our business operations. Litigation and other proceedings may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Members of the insurance industry are periodically the target of class action lawsuits and other types of litigation, some of which involve claims for substantial or indeterminate amounts, and the outcomes of which are unpredictable. We are currently defending putative class actions filed in Texas and Louisiana. Claims against insurers could be based on a variety of issues, including sale of insurance and claim settlement practices. In addition, because we employ a technology platform to collect customer data, it is possible that customers or consumer groups could bring individual or class action claims alleging that our methods of collecting data and pricing risk are impermissibly discriminatory. We cannot predict with any certainty whether we will be involved in such litigation in the future or what impact such litigation would have on our business. If we were to be involved in litigation and it was determined adversely, it could require us to pay significant damages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Additionally, on May 19, 2021, a purported class action complaint was filed against the Company and certain of its current officers and directors in the U.S. District Court for the Southern District of Ohio (Case No. 2:21-cv-01197) on behalf of certain Root shareholders alleging that defendants made false or misleading statements and omissions of purportedly material fact, in violation of Sections 10(b) and 20(a) of the Securities Exchange Act of 1934, as amended, or the Exchange Act, and Rule 10b-5 thereunder, and of Sections 11 and 15 of the Securities Act of 1933, or the Securities Act, in connection with and following the Company’s initial public offering. 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Exchange Act and Rule 10b-5 thereunder, breached their fiduciary duties and/or aided and abetted the breach of fiduciary duties, were unjustly enriched, wasted corporate assets, and are liable under Section 11(f) of the Securities Act, in connection with and following the Company’s initial public offering. This litigation can subject us to substantial costs and divert resources and the attention of management from our business. If these claims are successful, our business could be seriously harmed. Even if the claims do not result in protracted litigation or are resolved in our favor, the time and resources needed to resolve them could divert our management’s resources and seriously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December 31, 2022, we had federal income tax net operating losses, or NOLs, of approximately $1,268.9 million available to offset our future taxable income, if any, prior to consideration of annual limitations that may be imposed under Section 382 of the Internal Revenue Code, or the Code, or otherwise. Of our federal NOLs, $640.7 million of losses will begin to expire in tax years 2035 through 2042 and $628.2 million of losses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 future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non-P&amp;C NOL carryforwards in taxable years beginning after December 31, 2020, to 80% of taxable income. In addition, federal non-P&amp;C NOLs arising in tax years beginning after 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when the NOLs are expected to be utilized. The new limitation on use of NOLs may significantly impact our ability to utilize our NOLs to offset taxable income in the future.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in tax years beginning after 2019 and before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Industry</w:t>
      </w:r>
    </w:p>
    <w:p>
      <w:pPr>
        <w:spacing w:after="0" w:line="17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11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Reinsurance may be unavailable at current levels and prices, which may limit our ability to underwrite new policies. Furthermore, reinsurance subjects us to counterparty risk and may not be adequate to protect us against losses, which could have an adverse effect on our results of operations and financial condition.</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subsidiaries, Root Insurance Company and Root Property &amp; Casualty Insurance Company, obtain reinsurance to help manage exposure to property and casualty insurance risks. Although our reinsurance counterparties are liable to us according to the terms of the reinsurance policies,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limiting recovery. 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 unsound by the time that they are called upon to pay amounts due, which may not occur for many years, in which case we may have no legal ability to recover what is due to us under our agreement with such reinsurer. Any disputes with reinsurers regarding coverage under reinsurance contracts could be time consuming, costly, and uncertain of success.</w:t>
      </w:r>
    </w:p>
    <w:p>
      <w:pPr>
        <w:spacing w:after="0" w:line="11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Market conditions beyond our control impact the availability and cost of the reinsurance we purchase. No assurances can be made that reinsurance will remain continuously available to us to the same extent and on the same terms and rates as is currently available, as such availability depends in part on factors outside of our control. A new contract may not provide sufficient reinsurance protection.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could have a material adverse effect upon our business volume and profitability. Alternatively, we could elect to pay higher than reasonable rates for reinsurance coverage, which could have a material adverse effect upon our profitability unless policy premium rates could be raised, in most cases subject to approval by state regulators, to offset this additional cost.</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Reinsurance subjects us to risks of our reinsurers and may not be adequate to protect us against losses arising from ceded insurance, which could have an adverse effect on our results of operations and financial condition.</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 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in which case we may have no legal ability to recover what is due to us under our agreement with such reinsurer. In addition, any disputes with reinsurers regarding coverage under reinsurance contracts could be time consuming, costly, and uncertain of success.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inability to collect a material recovery from a reinsurer could have a material effect on our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extensive regulation and potential further restrictive regulation may increase our operating costs and limit our growth.</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subject to extensive laws and regulations by the individual state insurance departments in the states in which we transact business and the CIMA as it pertains to our captive reinsurance company. These laws and regulations are complex and subject to change. Changes may sometimes lead to additional expenses, increased legal exposure, increased required reserves or capital and surplus, and additional limits on our ability to grow or to achieve targeted profitability. Regulations to which our licensed insurance carriers and producer subsidiaries are subject include, but are not limited to: prior approval of transactions resulting in a change of “control”; approval of policy forms and premiums; approval of intercompany service agreements; statutory and risk-based capital solvency requirements, including the minimum capital and surplus our regulated insurance subsidiary must maintain; and establishing minimum reserves that insurance carriers must hold to pay projected insurance claims.</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the extent we decide to expand our current product offerings to include other insurance products, this would subject us to additional regulatory requirements and scrutiny in each state in which we elect to offer such products. Several states have also adopted legislation prohibiting unfair methods of competition and unfair or deceptive acts and practices in the business of insurance as well as unfair claims practices. Prohibited practices include, but are not limited to, misrepresentations, false advertising, coercion, disparaging other insurers, unfair claims settlement procedures, and discrimination in the business of insurance. Noncompliance with any of such state statutes may subject us to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spacing w:after="0" w:line="14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state insurance regulators have primary responsibility for administering and enforcing insurance regulations in the United States,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U.S. Department of Labor, the U.S.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and rapid rate of growth, we are more vulnerable to regulators identifying errors in the policy forms we use, the rates we charge, or with respect to our customer communications, and consumer-initiated litigation, including class action litigation, pursuant to regulations providing a private right of action. As a result of such noncompliance, regulators have in the past imposed non-material fines and penalties and could in the future impose fines, rebates or other penalties, including cease-and-desist orders with respect to our operations in an individual state, or all states, until the identified noncompliance is rectified.</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there is risk that any particular regulator’s or enforcement authority’s interpretation of a legal issue or the scope of a regulator’s authority may change over time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Failure to comply with other state insurance laws and regulations in the future could also have a material adverse effect on our business, operating results and financial condition. As another example, the federal government could pass a law expanding its authority to regulate the insurance industry, expanding federal regulation over our business to our detriment. These laws and regulations may limit our ability to grow, raise additional capital or improve the profitability of our business.</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 license suspended, or be subject to the seizure of assets. Any such events could adversely affect our business, results of operations or financial condition. See the sections titled (i) “Regulation — Insurance Regulation”, (ii) “Regulation — Insurance Holding Company Regulation” and (iii) “Regulation — Required Licensing” for additional information.</w:t>
      </w:r>
    </w:p>
    <w:p>
      <w:pPr>
        <w:spacing w:after="0" w:line="1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regulatory environment that requires rate increases to be approved and that can dictate underwriting practices and mandate participation in loss sharing arrangements may adversely affect our results of operations and financial condition.</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From time to time, political events and pressures affect the insurance market, including efforts to suppress rates to a level that may not allow us to reach targeted levels of profitability. For example, if our loss ratio compares favorably to that of the industry, state or provincial regulatory authorities may impose rate rollbacks, require us to pay premium refunds to policyholders, or challenge or otherwise delay our efforts to raise rates even if the property and casualty industry generally is not experiencing regulatory challenges to rate increases. Such challenges affect our ability to obtain approval for rate changes that may be required to achieve targeted levels of profitability and returns on equity.</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results of operations and financial condition could be adversely affected by any of these factors.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State insurance regulators impose additional reporting requirements regarding enterprise risk on insurance holding company systems, with which we must comply as an insurance holding company.</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past decade, various state insurance regulators have increased their focus on risks within an insurer’s holding company system that may pose enterprise risk to the insurer. As an example, an insurance holding company system’s ultimate controlling person is required to submit annually to its primary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As the ultimate controlling person in the insurance holding company system, we are required to file an annual enterprise risk report. On behalf of Root Insurance Company and Root Property &amp; Casualty Insurance Company, Root Inc. submitted its annual enterprise risk report with Ohio on June 1, 2022. Other changes include the requirement that a controlling person submit prior notice to its supervisory insurance regulator of a divestiture of control, having detailed minimum requirements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sharing and management agreements between an insurer and its affiliates and expansion of the agreements between an insurer and its affiliates to be filed with its supervisory insurance regulator.</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is also risk that insurance holding company systems may become subject to group capital requirements at the holding company level. The NAIC has developed a group capital calculation covering all entities in our insurance company group for us in solvency monitoring activities. The group capital calculation provides regulators with an additional analytical tool for conducting supervisory activities. The state of our primary state insurance regulator, Ohio, provides that an insurance holding company system that does not write business outside the United States, like us, is not required to file a group capital calculation until June 1, 2025.</w:t>
      </w:r>
    </w:p>
    <w:p>
      <w:pPr>
        <w:spacing w:after="0" w:line="134" w:lineRule="exact"/>
        <w:rPr>
          <w:sz w:val="20"/>
          <w:szCs w:val="20"/>
          <w:color w:val="auto"/>
        </w:rPr>
      </w:pPr>
    </w:p>
    <w:p>
      <w:pPr>
        <w:ind w:right="860"/>
        <w:spacing w:after="0" w:line="381" w:lineRule="auto"/>
        <w:rPr>
          <w:sz w:val="20"/>
          <w:szCs w:val="20"/>
          <w:color w:val="auto"/>
        </w:rPr>
      </w:pPr>
      <w:r>
        <w:rPr>
          <w:rFonts w:ascii="Arial" w:cs="Arial" w:eastAsia="Arial" w:hAnsi="Arial"/>
          <w:sz w:val="15"/>
          <w:szCs w:val="15"/>
          <w:b w:val="1"/>
          <w:bCs w:val="1"/>
          <w:i w:val="1"/>
          <w:iCs w:val="1"/>
          <w:color w:val="auto"/>
        </w:rPr>
        <w:t>We rely on technology and intellectual property from third parties for pricing and underwriting our insurance policies, handling claims and maximizing automation, the unavailability or inaccuracy of which could limit the functionality of our products and disrupt our business.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either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Any of these results could harm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 processing risk.</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If we or our processing vendor fail to maintain adequate systems for the authorization and processing of credit card transactions, it could cause one or more of the major credit card companies to disallow our continued use of their payment products. The failure to do so could result in contractual fines or disruption of our ability to receive credit card payments harming our reputation and financial condition. Data security standards for merchants and service providers that accept credit card payments are prescribed by the PCI Security Standards Council, or PCI, an independent body formed by an association of the major credit card vendors. These standards are intended to promote a common set of data security measures to help ensure the safe handling of sensitive information by companies accepting credit card payments. The PCI data security standards, however, will likely evolve over time to address emerging payment security risks and other issues, requiring additional compliance efforts by us. Our intention is to maintain compliance with PCI’s data security standards.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payment methods that we offer also subject us to potential fraud and theft by criminals, who are becoming increasingly more sophisticated, seeking to obtain unauthorized access to or exploit weaknesses that may exist in payment systems. If we fail to comply with applicable rules or requirements for the payment methods we accept, including the Payment Card Industry Data Security Standard, a self-regulatory standard that requires companies that process payment card data to implement certain data security measures,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3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success depends upon the insurance industry continuing to move online at its current pace and the continued growth and acceptance of online and mobile app-based products and services as effective alternatives to traditional offline products and services.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automobile and renters insurance products primarily through our websites, mobile apps, and embedded insurance product, which compete with traditional offline insurance counterparts. We believe that the continued growth and acceptance of online products and services as well as those offered through mobile devices generally will depend, to a large extent, on the continued growth in commercial use of the internet and mobile apps, and the continued migration of traditional offline markets and industries online.</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expect. Moreover, if, for any reason, an unfavorable perception develops that telematics, mobile engagement, a technology-based platform and/or bots are less efficacious than traditional offline methods of purchasing insurance, underwriting, claims processing, and other functions that do not use data automation, artificial intelligence and/or bots, or that our processes lead to unfair outcomes, our business, results of operations and financial condition could be adversely affected.</w:t>
      </w:r>
    </w:p>
    <w:p>
      <w:pPr>
        <w:spacing w:after="0" w:line="1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incurred losses and LAE may be greater than our loss and LAE reserves, which could have a material adverse effect on our financial condition and results of operations.</w:t>
      </w:r>
    </w:p>
    <w:p>
      <w:pPr>
        <w:spacing w:after="0" w:line="11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financial condition and results of operations depend on our ability to accurately price risk and assess potential losses and LAE under the terms of the policies we underwrite. Reserves do not represent an exact calculation of the unpaid claims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or redundant since we will likely misestimate the cost of claims and claims administration.</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economic and judicial trends and legislative and regulatory changes. Moreover, changing climate conditions, whether due to global climate change or other causes, may increase how often severe weather events and other natural disasters occur, how long they last, and how much insured damage they cause, and may change where the events occur. We regularly monitor reserves using new information on reported claims and a variety of statistical techniques to update our current estimate. Our estimates could prove to be inadequate, and this underestimation could have a material adverse effect on our financial condition.</w:t>
      </w:r>
    </w:p>
    <w:p>
      <w:pPr>
        <w:spacing w:after="0" w:line="12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Recorded claim reserves, including case reserves, salvage and subrogation and incurred but not reported, or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and changes in claim reporting, and settlement practices. External factors are also considered, such as court decisions, changes in law and litigation imposing unintended coverage. We also consider benefits, such as requiring the availability of multiple limits for a single loss occurrence. Regulatory requirements and economic conditions are also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materially from recorded reserves and such variance may adversely affect our results of operations and financial condition as the reserves and reinsurance recoverables are reestimated.</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of our investment portfolio is subject to a variety of investment risks that may adversely affect our financial results.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results of operations depend, in part, on the performance of our investment portfolio. We seek to hold a diversified portfolio of investments in accordance with our investment policy, which is routinely reviewed by the Audit, Risk and Finance Committee. However, our investments are subject to general economic and market risks as well as risks inherent to particular securities.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primary market risk exposures are to changes in interest rates. See the section titled “Management’s Discussion and Analysis of Financial Condition and Results of Operations — Quantitative and Qualitative Disclosures about Market Risk.” In recent years, interest rates have been at or near historic lows. A protracted low interest rate environment would continue to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change. Failure to comply with these laws and regulations would cause non-conforming investments to be treated as non-admitted assets for purposes of measuring statutory surplus and, in certain circumstances, we would be required to dispose of such investments.</w:t>
      </w:r>
    </w:p>
    <w:p>
      <w:pPr>
        <w:spacing w:after="0" w:line="107"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can be no assurances that specifically negotiated loss limitations or exclusions in our policies will be enforceable in the manner we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 Under insurance laws, the insurer typically has the burden of proving an exclusion applies and any ambiguities in the terms of a loss limitation or exclusion provision are typically construed against the insurer. 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meet the continued listing requirements of Nasdaq could result in delisting of our Class A common stock, which in its turn would negatively affect the price of our Class A common stock and limit investors’ ability to trade in our common stock.</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common stock trades on Nasdaq. Nasdaq rules impose certain continued listing requirements, including the minimum $1 bid price, corporate governance standards and number of public stockholders. If we fail to meet these continued listing requirements, Nasdaq may take steps to delist our Class A common stock. If our Class A common stock is delisted from The Nasdaq Global Select Market, we could face significant material adverse consequences, including:</w:t>
      </w:r>
    </w:p>
    <w:p>
      <w:pPr>
        <w:spacing w:after="0" w:line="13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Class A common stock;</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reduced liquidity with respect to our Class A common stock;</w:t>
      </w:r>
    </w:p>
    <w:p>
      <w:pPr>
        <w:spacing w:after="0" w:line="171" w:lineRule="exact"/>
        <w:rPr>
          <w:rFonts w:ascii="Arial" w:cs="Arial" w:eastAsia="Arial" w:hAnsi="Arial"/>
          <w:sz w:val="18"/>
          <w:szCs w:val="18"/>
          <w:color w:val="auto"/>
        </w:rPr>
      </w:pPr>
    </w:p>
    <w:p>
      <w:pPr>
        <w:ind w:right="80" w:firstLine="8"/>
        <w:spacing w:after="0" w:line="342" w:lineRule="auto"/>
        <w:tabs>
          <w:tab w:leader="none" w:pos="31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determination that shares of our Class A common stock are a “penny stock,” which will require broker-dealers trading in our Class A common stock to adhere to more stringent rules, possibly resulting in a reduced level of trading activity in the secondary trading market for our Class A common stock;</w:t>
      </w:r>
    </w:p>
    <w:p>
      <w:pPr>
        <w:spacing w:after="0" w:line="69"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ability to issue additional securities or obtain additional financing in the future.</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As of February 16, 2023, holders of our Class B common stock collectively beneficially own shares representing approximately 83.5% of the voting power of our outstanding capital stock. Our directors and executive officers and their affiliates collectively beneficially own, in the aggregate, shares representing approximately 19.0% of the voting power of our outstanding capital stock. As a result,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1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including our directors and executive officers and their affiliates, who retain their shares in the long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applicable state insurance laws and regulations, no person may acquire “control” of a domestic insurer until written approval is obtained from the state insurance commissioner. Applicable law provides for a rebuttable presumption of “control” by any person which owns or acquires, directly or indirectly, 10% or more of the voting stock of the insurance company, and a person must seek regulatory approval from the superintendent of the supervisory DOI prior to acquiring direct or indirect “control” of a domestic insurer by filing a Form A Statement Regarding the Acquisition of Control of or Merger with a Domestic Insurer, or Form A.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acquirers may find these 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Class A common stock so any returns will be limited to the value of our stock.</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subsidiary to declare extraordinary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the appreciation of their stock.</w:t>
      </w:r>
    </w:p>
    <w:p>
      <w:pPr>
        <w:spacing w:after="0" w:line="14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 We will incur significant increased costs as a result of operating as a public company, and our management will be required to devote substantial time to new compliance initiatives.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Act, the listing requirements of Nasdaq, and other applicable securities rules and regulations. Compliance with these rules and regulations have and may continue to increase our legal, accounting, investor relations, financial and other costs and expenses, make some activities more difficult, time-consuming or costly and increase demand on our systems and resources, particularly now that we are no longer an emerging growth company. The Exchange Act requires, among other things, that we file annual, quarterly and current reports with respect to our business and operating results.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and regulatory reform may also lead to substantial new regulations and disclosure obligations, which may in turn lead to additional compliance costs and impact the manner in which we operate our business in ways we do not currently anticipate. Our management and other personnel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 Being a public company and the associated rules and regulations will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Risk and Finance committee and Compensation Committee, and qualified executive officers.</w:t>
      </w:r>
    </w:p>
    <w:p>
      <w:pPr>
        <w:spacing w:after="0" w:line="124"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Our management does not expect that our internal control over financial reporting will prevent or detect all errors and all fraud. A control system, no matter how well designed and operated, can provide only reasonable assurance, not absolute, assurance that the control system’s objective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2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identified and disclosed control deficiencies as of December 31, 2022 that constituted a material weakness. We determined that there were control deficiencies within monitoring controls and the control environment, including the circumvention of control activities that aggregated to a material weakness. We are taking action and intend to remedy the material weakness. For more information regarding the material weakness, refer to Part II Item 9A, “Controls and Procedures.”</w:t>
      </w:r>
    </w:p>
    <w:p>
      <w:pPr>
        <w:spacing w:after="0" w:line="13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 the future, or if our independent registered public accounting firm determines that we have additional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capital markets.</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Class A common stock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1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71" w:lineRule="exact"/>
        <w:rPr>
          <w:rFonts w:ascii="Arial" w:cs="Arial" w:eastAsia="Arial" w:hAnsi="Arial"/>
          <w:sz w:val="18"/>
          <w:szCs w:val="18"/>
          <w:color w:val="auto"/>
        </w:rPr>
      </w:pPr>
    </w:p>
    <w:p>
      <w:pPr>
        <w:ind w:right="680" w:firstLine="8"/>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171" w:lineRule="exact"/>
        <w:rPr>
          <w:rFonts w:ascii="Arial" w:cs="Arial" w:eastAsia="Arial" w:hAnsi="Arial"/>
          <w:sz w:val="18"/>
          <w:szCs w:val="18"/>
          <w:color w:val="auto"/>
        </w:rPr>
      </w:pPr>
    </w:p>
    <w:p>
      <w:pPr>
        <w:ind w:right="20" w:firstLine="8"/>
        <w:spacing w:after="0" w:line="263"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29" w:lineRule="exact"/>
        <w:rPr>
          <w:rFonts w:ascii="Arial" w:cs="Arial" w:eastAsia="Arial" w:hAnsi="Arial"/>
          <w:sz w:val="18"/>
          <w:szCs w:val="18"/>
          <w:color w:val="auto"/>
        </w:rPr>
      </w:pPr>
    </w:p>
    <w:p>
      <w:pPr>
        <w:ind w:right="620" w:firstLine="8"/>
        <w:spacing w:after="0" w:line="277" w:lineRule="auto"/>
        <w:tabs>
          <w:tab w:leader="none" w:pos="3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44"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right="400" w:firstLine="8"/>
        <w:spacing w:after="0" w:line="277"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firstLine="8"/>
        <w:spacing w:after="0" w:line="277"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certificate of incorporation or our bylaws;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jc w:val="both"/>
        <w:ind w:right="340" w:firstLine="8"/>
        <w:spacing w:after="0" w:line="263" w:lineRule="auto"/>
        <w:tabs>
          <w:tab w:leader="none" w:pos="3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Credit Agreement includes a floating interest rate that exposes us to interest rate risk, and the terms of our Credit Agreement place restrictions on our operating and financial flexibility. Our failure to comply with covenants contained in the Credit Agreement may result in acceleration of our repayment obligations, which could harm our liquidity, financial condition, operating results, business and prospects and cause the price of our Class A common stock to decline.</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Root is a party to a five-year term loan agreement by and among Root, Caret Holdings, Inc., or Caret, as borrower, and other subsidiary loan parties, the lenders party thereto, or the Lenders, and Acquiom Agency Services LLC, as the administrative agent for the Lenders, or the Credit Agreement, pursuant to which, Caret has borrowed a principal amount of $300 million, all of which is currently outstanding. Interest is determined on a floating interest rate calculated on the Secured Overnight Financing Rate, or SOFR, with a 1.0% floor, plus 9%, plus 0.26161% per annum. Rising interest rates have an adverse impact on the cost of debt and results in less cash available to utilize in our operations, and could have a material adverse effect on our business and financial condition.</w:t>
      </w:r>
    </w:p>
    <w:p>
      <w:pPr>
        <w:spacing w:after="0" w:line="1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Credit Agreement includes limitations that restrict and limit, among other things, our ability to incur other indebtedness and liens, make restricted payments and investments, transfer or sell certain assets, engage in transactions with affiliates, and includes covenants requiring our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premiums earned of 12%; or ceasing any customer acquisition spend outside of the Carvana agreement and reducing our monthly cash burn to no greater than $12 million.</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Credit Agreement also contains customary events of default, including, among others, payment default, bankruptcy events, cross-default, breaches of covenants and representations and warranties, change of control and judgment defaults. A breach of any of these covenants could result in default under our Credit Agreement, which could prompt lenders to declare all amounts outstanding under the Credit Agreement to be immediately due and payable. A repayment of our debt would materially reduce our cash position and may cause insurance regulators to review our financial condition and require us to take actions to raise additional funds via equity or debt, which may be at less favorable terms than under the Credit Agreement. If we do not have sufficient cash or reserves, insurance regulators could take regulatory action. If we were unable to repay those amounts, the lenders could proceed against the collateral granted to them to secure that indebtedness. An acceleration of our outstanding indebtedness could have serious consequences to our financial condition, operating results, and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investments could disrupt our business and harm our financial condition.</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future we may pursue acquisitions or investments that we believe will help us achieve our strategic objectives. There is no assurance that such acquisitions or investments will perform as expected or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successfully integrated into our business or generate substantial revenue, and we may overestimate cash flow, underestimate costs or fail to understand the risks of or related to any investment or acquired business. The process of acquiring a business, product or technology can also cause us to incur various expenses and create unforeseen operating difficulties, expenditures and other challenges, whether or not those acquisitions are consummated, such as:</w:t>
      </w:r>
    </w:p>
    <w:p>
      <w:pPr>
        <w:spacing w:after="0" w:line="95" w:lineRule="exact"/>
        <w:rPr>
          <w:sz w:val="20"/>
          <w:szCs w:val="20"/>
          <w:color w:val="auto"/>
        </w:rPr>
      </w:pPr>
    </w:p>
    <w:p>
      <w:pPr>
        <w:ind w:right="100" w:firstLine="8"/>
        <w:spacing w:after="0" w:line="277"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intense competition for suitable acquisition targets, which could increase prices and adversely affect our ability to consummate deals on favorable or acceptable terms;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inadequacy of reserves for losses and LAE;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or material delay in closing a transaction, including as a result of regulatory review and approvals;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conditions attached to the approval of the acquisition and other regulatory hurdles;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need for additional capital that was not anticipated at the time of the acquisition;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anticipated benefits not materializing or being lower than anticipated;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transition of the acquired company’s customers;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the technologies, operations, existing contracts and personnel of an acquired company;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of employees or business partners of an acquired company;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1" w:lineRule="exact"/>
        <w:rPr>
          <w:rFonts w:ascii="Arial" w:cs="Arial" w:eastAsia="Arial" w:hAnsi="Arial"/>
          <w:sz w:val="18"/>
          <w:szCs w:val="18"/>
          <w:color w:val="auto"/>
        </w:rPr>
      </w:pPr>
    </w:p>
    <w:p>
      <w:pPr>
        <w:ind w:right="400" w:firstLine="8"/>
        <w:spacing w:after="0" w:line="277"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coordination of product development and sales and marketing functions;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theft of our trade secrets or confidential information that we share with potential acquisition candidates;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an acquired company or investment in new offerings cannibalizes a portion of our existing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market reaction to an acquisition;</w:t>
      </w:r>
    </w:p>
    <w:p>
      <w:pPr>
        <w:spacing w:after="0" w:line="171" w:lineRule="exact"/>
        <w:rPr>
          <w:rFonts w:ascii="Arial" w:cs="Arial" w:eastAsia="Arial" w:hAnsi="Arial"/>
          <w:sz w:val="18"/>
          <w:szCs w:val="18"/>
          <w:color w:val="auto"/>
        </w:rPr>
      </w:pPr>
    </w:p>
    <w:p>
      <w:pPr>
        <w:ind w:right="620" w:firstLine="8"/>
        <w:spacing w:after="0" w:line="277"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16" w:lineRule="exact"/>
        <w:rPr>
          <w:rFonts w:ascii="Arial" w:cs="Arial" w:eastAsia="Arial" w:hAnsi="Arial"/>
          <w:sz w:val="18"/>
          <w:szCs w:val="18"/>
          <w:color w:val="auto"/>
        </w:rPr>
      </w:pPr>
    </w:p>
    <w:p>
      <w:pPr>
        <w:ind w:right="100" w:firstLine="8"/>
        <w:spacing w:after="0" w:line="277"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users, former stockholders or other third parties.</w:t>
      </w:r>
    </w:p>
    <w:p>
      <w:pPr>
        <w:spacing w:after="0" w:line="1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pay the consideration for any future acquisitions or investments in cash, it would reduce the amount of cash available to us for other purposes. Future acquisitions or investments could also result in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6" w:name="page57"/>
    <w:bookmarkEnd w:id="56"/>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issuances of our equity securities or the incurrence of debt, contingent liabilities, amortization expenses, increased interest expenses or impairment charges against goodwill in our consolidated balance sheet, any of which could seriously harm our business.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a number of factors to cause our results of operations to fluctuate on a quarterly and annual basis, which may make it difficult to predict our future performance.</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and elsewhere in this Annual Report on Form 10-K, factors that may contribute to the variability of our quarterly and annual results include:</w:t>
      </w:r>
    </w:p>
    <w:p>
      <w:pPr>
        <w:spacing w:after="0" w:line="12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 including in a cost-effective manner;</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the insurance, mobile and automobile industries;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embedded insurance platform;</w:t>
      </w:r>
    </w:p>
    <w:p>
      <w:pPr>
        <w:spacing w:after="0" w:line="171" w:lineRule="exact"/>
        <w:rPr>
          <w:rFonts w:ascii="Arial" w:cs="Arial" w:eastAsia="Arial" w:hAnsi="Arial"/>
          <w:sz w:val="18"/>
          <w:szCs w:val="18"/>
          <w:color w:val="auto"/>
        </w:rPr>
      </w:pPr>
    </w:p>
    <w:p>
      <w:pPr>
        <w:ind w:right="460" w:firstLine="8"/>
        <w:spacing w:after="0" w:line="277"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and engage in joint ventures and strategic partnerships;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litigation or other losses;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increasing interest rates on our available cash;</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7" w:name="page58"/>
    <w:bookmarkEnd w:id="57"/>
    <w:p>
      <w:pPr>
        <w:spacing w:after="0" w:line="14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New or changing technologies, including those impacting personal transportation, could cause a disruption in our business model, which may materially impact our results of operations and financial condition.</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we fail to anticipate the impact on our business of changing technology, including automotive technology, our ability to successfully operate may be materially impaired. Our business could also be affected by potential technological changes, such as autonomous or partially autonomous vehicles or technologies that facilitate ride, car or home sharing, the more widespread adoption of electric vehicles (including potentially as a result of climate change or regulatory responses to it),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results of operations and financial condition.</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by current shareholders could cause the market price of our Class A common stock to decline.</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is located in Columbus, Ohio, and consists of 43,228 square feet under a lease agreement that expires in 2027. We lease all of our facilities and do not own any real property. We also sublease certain office space to the extent we no longer need that space for current and anticipated future needs. We believe our facilities are adequate and suitable for our current needs and that, should it be needed, suitable additional or alternative space will be available to accommodate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leases, refer to Note 8, “Leases,”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0" w:name="page61"/>
    <w:bookmarkEnd w:id="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While the outcome of all legal actions is not presently determinable, except as noted in Note 13, “Commitments and Contingencies,” in the Notes to Consolidated Financial Statements, we do not believe that we are party to any current or pending legal action that could reasonably be expected to have a material adverse effect on our financial condition or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61" w:name="page62"/>
    <w:bookmarkEnd w:id="6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2" w:name="page63"/>
    <w:bookmarkEnd w:id="62"/>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Class A common stock is traded on the Nasdaq Global Select Market, or Nasdaq, under the symbol “ROOT.” Our Class A common stock began trading on Nasdaq on October 28, 2020. Prior to that date, there was no public trading market for our Class A common stock. 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February 16, 2023, Root had 40 common stockholders of record of Class A common stock. Because many of our shares of Class A common stock are held by brokers and other institutions on behalf of stockholders, we are unable to estimate the total number of stockholders represented by these record 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16, 2023, Root had 46 common stockholders of record of Class B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4" w:name="page65"/>
    <w:bookmarkEnd w:id="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Annual Report on Form 10-K. Additionally, our historical results are not necessarily indicative of the results that may be expected for any period in the future. This Management’s Discussion and Analysis does not discuss 2020 performance or a comparison of 2021 versus 2020 performance for select areas where we have determined the omitted information is not necessary to understand our current period financial condition, changes in our financial condition, or our results. The omitted information may be found in our Annual Report on Form 10-K for the year ended December 31, 2021 filed with the Securities and Exchange Commission, or the SEC, on February 23,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Root is a tech-enabled insurance company revolutionizing personal insurance with a pricing model based upon fairness and a modern customer experience. We operate primarily a direct-to-consumer model in which we currently acquire the majority of our customers through mobile applications. We are also focused on expanding our embedded insurance platform, where we acquire customers through strategic partnerships.</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the Root advantage is derived from our unique ability to efficiently and effectively bind auto insurance policies quickly, through direct and embedded channels, aided by segmenting individual risk based on complex behavioral data and proprietary telematics.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w:t>
      </w:r>
    </w:p>
    <w:p>
      <w:pPr>
        <w:spacing w:after="0" w:line="13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model benefits from portfolio maturity. As we scale the business and develop our embedded products, our results are disproportionately weighted towards new customers compared to traditional insurance carriers. As we build an underlying base of recurring customers, we expect the following financial impacts:</w:t>
      </w:r>
    </w:p>
    <w:p>
      <w:pPr>
        <w:spacing w:after="0" w:line="130" w:lineRule="exact"/>
        <w:rPr>
          <w:sz w:val="20"/>
          <w:szCs w:val="20"/>
          <w:color w:val="auto"/>
        </w:rPr>
      </w:pPr>
    </w:p>
    <w:p>
      <w:pPr>
        <w:ind w:right="20" w:firstLine="8"/>
        <w:spacing w:after="0" w:line="259"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loss ratio. </w:t>
      </w:r>
      <w:r>
        <w:rPr>
          <w:rFonts w:ascii="Arial" w:cs="Arial" w:eastAsia="Arial" w:hAnsi="Arial"/>
          <w:sz w:val="18"/>
          <w:szCs w:val="18"/>
          <w:color w:val="auto"/>
        </w:rPr>
        <w:t>Renewal premiums, referring to premiums from a customer’s second term and beyond, have lower loss ratios as compared to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implement rate increases to control the impact of increased loss costs.</w:t>
      </w:r>
    </w:p>
    <w:p>
      <w:pPr>
        <w:spacing w:after="0" w:line="132" w:lineRule="exact"/>
        <w:rPr>
          <w:rFonts w:ascii="Arial" w:cs="Arial" w:eastAsia="Arial" w:hAnsi="Arial"/>
          <w:sz w:val="18"/>
          <w:szCs w:val="18"/>
          <w:color w:val="auto"/>
        </w:rPr>
      </w:pPr>
    </w:p>
    <w:p>
      <w:pPr>
        <w:ind w:right="60" w:firstLine="8"/>
        <w:spacing w:after="0" w:line="263"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Reduced marketing as a percentage of premium</w:t>
      </w:r>
      <w:r>
        <w:rPr>
          <w:rFonts w:ascii="Arial" w:cs="Arial" w:eastAsia="Arial" w:hAnsi="Arial"/>
          <w:sz w:val="18"/>
          <w:szCs w:val="18"/>
          <w:color w:val="auto"/>
        </w:rPr>
        <w:t>. Certain recurring customer premiums have no associated customer acquisition costs and minimal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underwriting costs, driving profitability. As we grow our business, we anticipate, consistent with industry norms, that a greater proportion of our premiums will be from customer renewals without associated marketing costs.</w:t>
      </w:r>
    </w:p>
    <w:p>
      <w:pPr>
        <w:spacing w:after="0" w:line="129" w:lineRule="exact"/>
        <w:rPr>
          <w:rFonts w:ascii="Arial" w:cs="Arial" w:eastAsia="Arial" w:hAnsi="Arial"/>
          <w:sz w:val="18"/>
          <w:szCs w:val="18"/>
          <w:color w:val="auto"/>
        </w:rPr>
      </w:pPr>
    </w:p>
    <w:p>
      <w:pPr>
        <w:ind w:right="620" w:firstLine="8"/>
        <w:spacing w:after="0" w:line="277" w:lineRule="auto"/>
        <w:tabs>
          <w:tab w:leader="none" w:pos="319"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revenue per customer. </w:t>
      </w:r>
      <w:r>
        <w:rPr>
          <w:rFonts w:ascii="Arial" w:cs="Arial" w:eastAsia="Arial" w:hAnsi="Arial"/>
          <w:sz w:val="18"/>
          <w:szCs w:val="18"/>
          <w:color w:val="auto"/>
        </w:rPr>
        <w:t>Over time we expect to refine our fee schedules to be more consistent with industry norms. This, paired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strengthened underwriting, will facilitate the opportunity to generate additional fee revenue per customer.</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and take appropriate and timely rate actions. We efficiently acquire customers directly through multiple channels, including embedded, digital (performance), channel media, referrals and agency. Our evolving acquisition strategy includes utilizing our embedded platform through current and future embedded partners. Traditionally, our marketing costs have historically been well below industry averages, although in any given period, these costs can vary by acquisition strategy, channel mix, by state, or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seasonality or due to the competitive environment. Today, we acquire the vast majority of our customers through the embedded platform, mobile app and mobile website. We believe that through prudent investment in and diversification of our marketing channels, including a focus on embedded insurance through our current and future strategic partners, and leveraging proprietary data science and technology will position us for more sustainable, long-term and profitable growth.</w:t>
      </w:r>
    </w:p>
    <w:p>
      <w:pPr>
        <w:spacing w:after="0" w:line="13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As a full-stack insurance company, we currently employ a “capital-efficient” model, which utilizes a variety of reinsurance structures at elevated levels of reinsurance. These reinsurance structures deliver three core objectives (1) top-line growth without a commensurate increase in regulatory capital requirements, (2) support of customer acquisition costs and (3) protection from outsized losses or tail events</w:t>
      </w:r>
      <w:r>
        <w:rPr>
          <w:rFonts w:ascii="Arial" w:cs="Arial" w:eastAsia="Arial" w:hAnsi="Arial"/>
          <w:sz w:val="17"/>
          <w:szCs w:val="17"/>
          <w:i w:val="1"/>
          <w:iCs w:val="1"/>
          <w:color w:val="auto"/>
        </w:rPr>
        <w:t>.</w:t>
      </w:r>
      <w:r>
        <w:rPr>
          <w:rFonts w:ascii="Arial" w:cs="Arial" w:eastAsia="Arial" w:hAnsi="Arial"/>
          <w:sz w:val="17"/>
          <w:szCs w:val="17"/>
          <w:color w:val="auto"/>
        </w:rPr>
        <w:t xml:space="preserve"> We expect to maintain an elevated level of third-party quota share reinsurance while scaling our business in order to operate a capital-efficient business model. As our business scales, we expect to have the flexibility to reduce our quota share levels to maximize the return to shareholders.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included net loss and LAE ratio, net expense ratio, and net combined ratio as key performance indicators, which include the impact of reinsurance. These net metrics are useful to help illustrate the underwriting and operating expense performance and operating health of the overall business. A combined ratio under 100% indicates an underwriting profit while a combined ratio over 100% indicates an underwriting loss.</w:t>
      </w:r>
    </w:p>
    <w:p>
      <w:pPr>
        <w:spacing w:after="0" w:line="1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historical top-line growth and resulting capital requirements, which are relieved, in part, by obtaining reinsurance. The gross metrics have historically included gross premiums written, gross premiums earned, direct contribution, gross loss ratio, gross LAE ratio and gross accident period loss ratio. We have added gross expense ratio and gross combined ratio as key performance indicators and we believe these metrics provide useful insight to illustrate the expense and operating health of the business, prior to reinsurance. A gross combined ratio under 100% indicates an underwriting profit, prior to reinsurance, while a gross combined ratio over 100% indicates an underwriting loss, prior to reinsurance.</w:t>
      </w:r>
    </w:p>
    <w:p>
      <w:pPr>
        <w:spacing w:after="0" w:line="11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 Key Performance Indicators” and for reconciliations of Direct Contribution and adjusted EBITDA to the most directly comparable generally accepted accounting principles in the United States, or GAAP, metric, see “— Non-GAAP Financial Measures.”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including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Manage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leverage technology to help manage risk. For instance, we leverage machine learning to “clean” behavioral data obtained through a customer’s mobile device, and we use advanced statistical methods to model that data into usable behavior scores. We leverage intelligent chat functions and various forms of machine learning and advanced automation to help power our claims function. Technology is a key differentiator in managing risk across our key functions. Our success depends on our ability to adequately and competitively price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Attract New Customers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long-term growth will depend, in large part, on our continued ability to attract new customers to our platform. We intend to continue to drive new customer growth by leveraging our differentiated consumer experience, our embedded channel, machine learning loss models and our telematics-based pricing. Additionally, our proprietary dataset will continue to scale as we grow, enabling us to enhance our predictive models to further improve pricing and attract potential new customers. We will also continue to target attractive potential customer segments through our embedded experience and digital marketing channels. Our ability to attract new customers will depend on a number of factors, including the pricing of our products, offerings of our competitors, our ability to expand into new markets, success of our embedded channel and the effectiveness of our marketing efforts. Our ability to attract and retain customers depends on maintaining and strengthening our brand by providing superior customer experiences and competitive pricing. In particular, we are challenged by traditional insurers who have more diverse product offerings and longer established operating histories. These competitors can mimic certain aspects of our digital platform and offerings, and as they have more types of insurance products, can offer customers the ability to “bundle” multiple coverage types together, which may be attractive to many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Customers</w:t>
      </w:r>
    </w:p>
    <w:p>
      <w:pPr>
        <w:spacing w:after="0" w:line="17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ability to derive significant lifetime value from our customer relationships depends, in part, on our ability to retain our customers over time. Strong retention allows us to build a recurring revenue base, generating additional premiums term over term without material incremental marketing costs. As we broadly retain customers and our book of business evolves to be more weighted towards renewals versus new business, as is the case with our mature competitors, we will benefit from the inherently lower loss ratios that characterize renewed premiums. Our ability to retain customers will depend on a number of factors, including our customers’ satisfaction with our products, offerings of our competitors and pricing of products.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be Licensed in all States in the United States</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long-term growth opportunity will benefit from our ability to provide insurance across more states in the United States. Today, we are currently licensed in 50 states (48 states for personal auto) and the District of Columbia and operate in 34 of those states. Our state expansion has unlocked a large total addressable market for sustained growth, made our direct targeted marketing more efficient and created an opportunity to build a national brand, supporting our marketing holistically.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Expand Premiums Through Cross-Sell and Fee Income Per Policy</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in the early stages of cross-selling non-auto products across our customer base. In 2019, we began offering renters insurance and, in May 2020, we launched our homeowners insurance product in partnership with Homesite Insurance, or Homesite. Cross-sales allow us to generate additional premiums (renters) and fee income (homeowners) without material incremental marketing spend, and ultimately higher revenue per customer. We have also observed that bundling products with auto insurance improves retention as the relationship with our customer expands. Our success in expanding revenues through cross-sales and greater fee income per policy depends on our marketing efforts with new products, continuous state expansion of these offerings and the pricing of our bundled products and continuing to refine the fee schedules in our policyholder contracts to be more consistent with industry norms. The success of our renters insurance offering is also subject to our ability to develop underwriting capabilities to adequately price renters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March 2020, the World Health Organization declared COVID-19 a global pandemic. The COVID-19 pandemic and governmental 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economic instability caused by the COVID-19 pandemic has led to acute inflationary pressures, supply chain disruptions, rising interest rates and a downturn in equity markets. There is a risk of inflation remaining elevated for an extended period, which could cause claims and claim expenses to increase, impact the performance of our investment portfolio or have other adverse effects. Rising interest rates and reduced equity values have increased the cost of capital and may limit our ability to raise additional capital. In addition, we have seen an increase in the value of used vehicles and replacement parts. These cost increases have resulted in greater claims severity while being partially offset by higher subrogation recoveries on damaged vehicles. We continue to file in multiple states to establish rates that more closely follow the evolving loss cost trends.</w:t>
      </w:r>
    </w:p>
    <w:p>
      <w:pPr>
        <w:spacing w:after="0" w:line="1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the COVID-19 pandemic continues, there is ongoing uncertainty around the severity and duration of the pandemic and the pandemic’s potential impact on our business and our financial performance. See the section titled “Risk Factors” for more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Reinsurance</w:t>
      </w:r>
    </w:p>
    <w:p>
      <w:pPr>
        <w:spacing w:after="0" w:line="17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expect to continue to utilize reinsurance in the future, and our diversified approach to reinsurance allows us to be flexible in response to changes in market conditions or our own business changes, which allows us to strategically fuel profitable growth and technology investment by optimizing the amount of capital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regularly review a number of metrics, including the following key performance indicators, to evaluate our business, measure our performance, identify trends in our business, prepare financial projections and make strategic decisions. There were certain key performance indicators that management no longer utilized to actively monitor the performance of the business and we believe are no longer useful metrics to provide as key performance indicators. These metrics include the renters policies in force, renters premiums per policy, renters premiums in force, adjusted gross profit/(loss), gross margin, ratio of adjusted gross profit/(loss) to total revenue, ratio of adjusted gross profit/(loss) to gross premiums earned, ratio of direct contribution to total revenue and ratio of direct contribution to gross premiums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believe the non-GAAP and operational measures are useful in evaluating our performance, in addition to our financial results prepared in accordance with GAAP. See the section titled “— Non-GAAP Financial Measures” for additional information regarding our use of direct contribution and adjusted EBITDA and their reconciliations to the most directly comparable GAAP measures.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1320" w:type="dxa"/>
            <w:vAlign w:val="bottom"/>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6"/>
                <w:szCs w:val="16"/>
                <w:color w:val="auto"/>
              </w:rPr>
            </w:pPr>
          </w:p>
        </w:tc>
        <w:tc>
          <w:tcPr>
            <w:tcW w:w="1040" w:type="dxa"/>
            <w:vAlign w:val="bottom"/>
          </w:tcPr>
          <w:p>
            <w:pPr>
              <w:jc w:val="right"/>
              <w:ind w:right="611"/>
              <w:spacing w:after="0"/>
              <w:rPr>
                <w:sz w:val="20"/>
                <w:szCs w:val="20"/>
                <w:color w:val="auto"/>
              </w:rPr>
            </w:pPr>
            <w:r>
              <w:rPr>
                <w:rFonts w:ascii="Arial" w:cs="Arial" w:eastAsia="Arial" w:hAnsi="Arial"/>
                <w:sz w:val="14"/>
                <w:szCs w:val="14"/>
                <w:b w:val="1"/>
                <w:bCs w:val="1"/>
                <w:color w:val="auto"/>
              </w:rPr>
              <w:t>2020</w:t>
            </w:r>
          </w:p>
        </w:tc>
      </w:tr>
      <w:tr>
        <w:trPr>
          <w:trHeight w:val="26"/>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6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 except Premiums per policy)</w:t>
            </w:r>
          </w:p>
        </w:tc>
        <w:tc>
          <w:tcPr>
            <w:tcW w:w="104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 force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220,354</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354,371</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322,759</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Premiums per policy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1,220</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1,006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939</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in force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537.7</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713.0</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606.1</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Gross premiums written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600.0</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742.6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616.8</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premiums earned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643.6</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719.6</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605.2</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(32.2)</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(51.9)</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(14.2)</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(297.7)</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(521.1)</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(363.0)</w:t>
            </w:r>
          </w:p>
        </w:tc>
      </w:tr>
      <w:tr>
        <w:trPr>
          <w:trHeight w:val="263"/>
        </w:trPr>
        <w:tc>
          <w:tcPr>
            <w:tcW w:w="6040" w:type="dxa"/>
            <w:vAlign w:val="bottom"/>
          </w:tcPr>
          <w:p>
            <w:pPr>
              <w:ind w:left="20"/>
              <w:spacing w:after="0"/>
              <w:rPr>
                <w:sz w:val="20"/>
                <w:szCs w:val="20"/>
                <w:color w:val="auto"/>
              </w:rPr>
            </w:pPr>
            <w:r>
              <w:rPr>
                <w:rFonts w:ascii="Arial" w:cs="Arial" w:eastAsia="Arial" w:hAnsi="Arial"/>
                <w:sz w:val="18"/>
                <w:szCs w:val="18"/>
                <w:color w:val="auto"/>
              </w:rPr>
              <w:t>Direct contribution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27.6</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8.1</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18.9</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(185.9)</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(446.1)</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(249.5)</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Net loss and LAE ratio</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122.8 %</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126.4 %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112.5 %</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expense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72.2 %</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78.1 %</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Net combined ratio</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195.0 %</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260.9 %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190.6 %</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82.1 %</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82.0 %</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Gross LAE ratio</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10.3 %</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expense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56.5 %</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Gross combined ratio</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137.8 %</w:t>
            </w:r>
          </w:p>
        </w:tc>
        <w:tc>
          <w:tcPr>
            <w:tcW w:w="4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167.8 %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148.6 %</w:t>
            </w: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accident period loss ratio</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80.9 %</w:t>
            </w: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in Force</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per Policy</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Premiums in Force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Premiums Written</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Premiums Earned</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Profit/(Loss)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define gross profit/(loss) as total revenue minus net loss and LAE and other insurance (benefit) expense. We view gross profit/(loss) as an important metric because we believe it is informative of the financial performance of our core insurance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define direct contribution, a non-GAAP financial measure, as gross profit/(loss) excluding net investment income, net realized gains (losses) on investments, report costs, salaries, health benefits, bonuses, employee retirement plan related expenses and employee share-based compensation expense, allocated overhead, licenses, net commissions, professional fees and other expenses, ceded earned premium,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(benefit)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total revenue to direct contribution.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define adjusted EBITDA, a non-GAAP financial measure, as net loss excluding interest expense, income tax expense, depreciation and amortization, share-based compensation, warrant compensation expense, restructuring charges, and write-off of prepaid marketing expense and reclassifications of certain sales and marketing expenses, and related legal and other fees, net of anticipated insurance recovery.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performance. Adjusted EBITDA should not be viewed as a substitute for net loss calculated in accordance with GAAP, and other companies may define adjusted EBITDA differently.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titled “— Non-GAAP Financial Measures” for a reconciliation of net loss to adjusted EBITDA.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LAE Ratio</w:t>
      </w:r>
    </w:p>
    <w:p>
      <w:pPr>
        <w:spacing w:after="0" w:line="17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define net loss and LAE ratio expressed as a percentage, as the ratio of net loss and LAE to net premiums earned. We view net loss and LAE ratio as important metric because it allows us to evaluate loss trends as a percentage of net premiums and believe it is useful for investors to evaluate those separately from other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 Ratio</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Combined Ratio</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Loss Ratio</w:t>
      </w:r>
    </w:p>
    <w:p>
      <w:pPr>
        <w:spacing w:after="0" w:line="17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LAE Ratio</w:t>
      </w:r>
    </w:p>
    <w:p>
      <w:pPr>
        <w:spacing w:after="0" w:line="17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define gross LAE ratio expressed as a percentage, as the ratio of gross LAE to gross premiums earned.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Expense Ratio</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Combined Ratio</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reflects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Accident Period Loss Ratio</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from net premiums earned, net investment income, net realized gains on investments, fee income and other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Premiums written are deferred and earned pro rata over the policy period. Net premiums earned represents the earned portion of our gross premiums written, less the earned portion that is ceded to third-party reinsurers under our reinsurance agreements. We expect net premiums earned to decrease in the short-term as our policies in force decrease continues to outpace premiums written from new business. In the near-term, we expect to grow new writings with our embedded products and greater average premiums per policy to generate growth in net premiums earned.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investment income represents interest earned from our fixed maturity and short-term investments and cash and cash equivalents and unrealized gains from our private equity investments less investment expenses. Net investment income is directly correlated with the overall size of our investment portfolio, market level of interest rates and changes in fair value of our private equity investments. Net investment income will vary with the size and composition of our investment portfolio, market returns and the investment strategy.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on Investments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realized gains on investments represents the difference between the amount received by us on the sale of an investment as compared to the investment’s amortized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is primarily comprised of revenue earned from distributing website and app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operating expenses consist of loss and LAE, sales and marketing, other insurance (benefit) expense, technology and development, and general and administrative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4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Loss and LAE may be paid out over a period of years.</w:t>
      </w:r>
    </w:p>
    <w:p>
      <w:pPr>
        <w:spacing w:after="0" w:line="13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Various other expenses incurred during claims processing are considered LAE. These amounts include related salaries, health benefits, bonuses, employee retirement plan related expenses and employee share-based compensation expense, or Personnel Costs, for claims related employees; software expense; internally developed software amortization; and overhead allocated based on headcount, or Overhead.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Sales and marketing expense includes spending related to performance and embedded channels, channel media, advertising, branding, public relations, sponsorship, consumer insights and referral fees. These expenses also include related Personnel Costs, Overhead and certain warrant compensation expense related to our embedded channel. We incur sales and marketing expenses for all product offerings. Sales and marketing are expensed as incurred. Certain warrant compensation expense is recognized on a pro-rata basis considering progress toward completing Carvana’s online buying platform, or the Integrated Platform, under the Carvana commercial agreement.</w:t>
      </w:r>
    </w:p>
    <w:p>
      <w:pPr>
        <w:spacing w:after="0" w:line="13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plan to continue investing in and diversifying our marketing channels, including costs incurred related to our embedded channel, to attract and acquire new customers, increase our brand awareness, and expand our product offerings within certain markets. We expect that in the long-term, our sales and marketing will decrease as a percentage of revenue as the proportion of renewals to our total business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 (Benefit) Expense</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Other insurance (benefit) expense includes underwriting expenses, credit card and policy processing expenses, premium write-offs, insurance license expenses, certain warrant compensation expense related to our embedded channel, and Personnel Costs and Overhead related to actuarial and certain data science activities. Other insurance (benefit) expense also includes amortization of deferred acquisition costs like certain commissions, premium taxes, and report costs related to the successful acquisition of a policy. Other insurance (benefit) expense is expensed as incurred, except for costs related to deferred acquisition costs that are capitalized and subsequently amortized over the same period in which the related premiums are earned. These expenses are also recognized net of ceding commissions earned. Certain warrant compensation expense is recognized on a pro-rata basis for policies originated from the Integrated Platform towards milestones as defined under the Carvana commercial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General and administrative expenses primarily relate to external professional service expenses; Personnel Costs and Overhead for corporate functions; and depreciation expense for computers, furniture and other fixed assets; write-offs; and restructuring costs associated with the involuntary workforce reductions. Restructuring costs include severance, benefits, share-based compensation, employee compensation expense, dependent upon continuous employment for certain employees, and related employee costs, real estate exit costs and software costs. General and administrative expenses are expensed as incurred. We expect general and administrative expenses to decrease as a percentage of total revenue over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 of Debt</w:t>
      </w:r>
    </w:p>
    <w:p>
      <w:pPr>
        <w:spacing w:after="0" w:line="17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Loss on early extinguishment of debt is not an operating expense; therefore, we include these expenses below operating expenses. Loss on early extinguishment of debt primarily relates to the difference between the reacquisition price of the debt and the net carrying amount of the extinguished debt. Upon extinguishment of debt, the remaining unamortized discount and debt and warrants issuance costs are recognized as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
        </w:trPr>
        <w:tc>
          <w:tcPr>
            <w:tcW w:w="33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r>
      <w:tr>
        <w:trPr>
          <w:trHeight w:val="39"/>
        </w:trPr>
        <w:tc>
          <w:tcPr>
            <w:tcW w:w="33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4"/>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
        </w:trPr>
        <w:tc>
          <w:tcPr>
            <w:tcW w:w="3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92.0 %</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89.8 %</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(benefit) expense</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r>
      <w:tr>
        <w:trPr>
          <w:trHeight w:val="237"/>
        </w:trPr>
        <w:tc>
          <w:tcPr>
            <w:tcW w:w="33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573.9</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73.0 %</w:t>
            </w: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3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8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Changes in net unrealized losses 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3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19.2 %</w:t>
            </w:r>
          </w:p>
        </w:tc>
      </w:tr>
      <w:tr>
        <w:trPr>
          <w:trHeight w:val="289"/>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Premiums Earned</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Net premiums earned decreased $24.4 million, or 7.9%, to $285.9 million for the year ended December 31, 2022 compared to 2021. The decrease was primarily due to lower policies in force throughout the year as a result of reduced marketing expenditures, partially offset by an increase in premium per policy driven by rate actions.</w:t>
      </w:r>
    </w:p>
    <w:p>
      <w:pPr>
        <w:spacing w:after="0" w:line="13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years ended December 31, 2022 and 2021, we ceded approximately 55.6% and 56.9% of our gross premiums earned to third-party reinsurers, respectively. The slight change in ceding percentage between the periods was driven by retaining a marginally larger share of our overall book of business.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5" w:name="page76"/>
    <w:bookmarkEnd w:id="75"/>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presents gross premiums written, ceded premiums written, net premiums written, gross premiums earned, ceded premiums earned and net premiums earned for the years ended December 31, 2022 and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Years Ended December 31,</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39"/>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(dollars in millions)</w:t>
            </w:r>
          </w:p>
        </w:tc>
        <w:tc>
          <w:tcPr>
            <w:tcW w:w="1360" w:type="dxa"/>
            <w:vAlign w:val="bottom"/>
          </w:tcPr>
          <w:p>
            <w:pPr>
              <w:spacing w:after="0"/>
              <w:rPr>
                <w:sz w:val="16"/>
                <w:szCs w:val="16"/>
                <w:color w:val="auto"/>
              </w:rPr>
            </w:pPr>
          </w:p>
        </w:tc>
      </w:tr>
      <w:tr>
        <w:trPr>
          <w:trHeight w:val="39"/>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premiums written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600.0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8"/>
              </w:rPr>
              <w:t>742.6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w w:val="91"/>
              </w:rPr>
              <w:t>(331.2)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left="256"/>
              <w:spacing w:after="0"/>
              <w:rPr>
                <w:sz w:val="20"/>
                <w:szCs w:val="20"/>
                <w:color w:val="auto"/>
              </w:rPr>
            </w:pPr>
            <w:r>
              <w:rPr>
                <w:rFonts w:ascii="Arial" w:cs="Arial" w:eastAsia="Arial" w:hAnsi="Arial"/>
                <w:sz w:val="18"/>
                <w:szCs w:val="18"/>
                <w:color w:val="auto"/>
                <w:w w:val="94"/>
              </w:rPr>
              <w:t>(397.3)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268.8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8"/>
              </w:rPr>
              <w:t>345.3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76"/>
              <w:spacing w:after="0"/>
              <w:rPr>
                <w:sz w:val="20"/>
                <w:szCs w:val="20"/>
                <w:color w:val="auto"/>
              </w:rPr>
            </w:pPr>
            <w:r>
              <w:rPr>
                <w:rFonts w:ascii="Arial" w:cs="Arial" w:eastAsia="Arial" w:hAnsi="Arial"/>
                <w:sz w:val="18"/>
                <w:szCs w:val="18"/>
                <w:color w:val="auto"/>
                <w:w w:val="88"/>
              </w:rPr>
              <w:t>719.6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jc w:val="center"/>
              <w:ind w:left="273"/>
              <w:spacing w:after="0"/>
              <w:rPr>
                <w:sz w:val="20"/>
                <w:szCs w:val="20"/>
                <w:color w:val="auto"/>
              </w:rPr>
            </w:pPr>
            <w:r>
              <w:rPr>
                <w:rFonts w:ascii="Arial" w:cs="Arial" w:eastAsia="Arial" w:hAnsi="Arial"/>
                <w:sz w:val="18"/>
                <w:szCs w:val="18"/>
                <w:color w:val="auto"/>
                <w:w w:val="91"/>
              </w:rPr>
              <w:t>(357.7)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ind w:left="256"/>
              <w:spacing w:after="0"/>
              <w:rPr>
                <w:sz w:val="20"/>
                <w:szCs w:val="20"/>
                <w:color w:val="auto"/>
              </w:rPr>
            </w:pPr>
            <w:r>
              <w:rPr>
                <w:rFonts w:ascii="Arial" w:cs="Arial" w:eastAsia="Arial" w:hAnsi="Arial"/>
                <w:sz w:val="18"/>
                <w:szCs w:val="18"/>
                <w:color w:val="auto"/>
                <w:w w:val="94"/>
              </w:rPr>
              <w:t>(409.3)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3"/>
              </w:rPr>
              <w:t>285.9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88"/>
              </w:rPr>
              <w:t>310.3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decrease in gross premiums earned was primarily due to lower gross premiums written as a result of reducing marketing expenditures. This decrease was partially offset by a 21.3% increase in premiums per policy for automobile insurance primarily attributable to rate actions.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Fee income decreased $4.4 million, or 21.1%, to $16.5 million for the year ended December 31, 2022 compared to 2021. The decrease was primarily due to a decrease in installment fees due to lower policies in force.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Other income decreased $5.1 million, or 75.0%, to $1.7 million for the year ended December 31, 2022 compared to 2021. The decrease was primarily due to a $4.9 million reduction in fee revenue from distributing web and app policy inquiry leads to third parties as a result of reducing marketing expenditures.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and Loss Adjustment Expenses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Loss and LAE decreased $41.3 million, or 10.5%, to $351.0 million for the year ended December 31, 2022 compared to 2021. The decrease was primarily due to lower policies in force for the year ended December 31, 2022 compared to 2021.</w:t>
      </w:r>
    </w:p>
    <w:p>
      <w:pPr>
        <w:spacing w:after="0" w:line="11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Gross accident period loss ratios decreased to 80.9% from 88.7% for the years ended December 31, 2022 and 2021, respectively. The change in the loss ratios was driven by growth in average premium per policy primarily attributable to rate actions and improved tenure mix as our book of business matures. This was offset by higher loss costs from increased severity per claim due to inflation, as the industry experienced higher replacement parts cost and growth in used car values. We experienced an 11% increase in severity per claim and 6% decrease in claim frequency for the year ended December 31, 2022 compared to 2021. The claim severity and frequency estimates are based on bodily injury, collision, and property damage coverages.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Sales and marketing decreased $222.2 million, or 82.2%, to $48.0 million for the year ended December 31, 2022 compared to 2021. The decrease was primarily due to a decline in performance marketing of $175.9 million and branding and advertising of $39.4 million. The reduction in sales and marketing expense is due to a shift in direct marketing strategy in response to changing macroeconomic factors and competitive environment. This was partially offset by $5.4 million increase in content development as we focus on diversifying our marketing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Insurance (Benefit) Expense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insurance (benefit) expense decreased $13.0 million, or 260.0%, to a benefit of $8.0 million for the year ended December 31, 2022 compared to 2021. The decrease was primarily driven by a $22.8 million decrease in underwriting costs and premium taxes and a $3.5 million decrease in premium write-offs primarily attributable to a decline in gross premiums written. In addition, we experienced a $3.1 million decrease in personnel costs as a result of a decrease in headcount, primarily attributable to the involuntary workforce reductions. This was partially offset by a $10.8 million decrease in earned ceding commission contra-expense due to a decrease in gross premiums written and a $5.7 million increase in Carvana warrant expense as a result of policies originating from the Integrated Platform.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7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Technology and development decreased $10.0 million, or 15.3%, to $55.5 million for the year ended December 31, 2022 compared to 2021. The decrease was primarily driven by a $9.7 million decrease in personnel and overhead related costs as a result of a decrease in headcount, primarily attributable to the involuntary workforce reductions.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General and administrative increased $29.8 million, or 30.5%, to $127.4 million for the year ended December 31, 2022 compared to 2021. The increase was driven by $18.6 million of restructuring costs related to the involuntary workforce reductions and a $9.5 million increase in personnel costs primarily attributable to share-based compensation expenses relating to our equity incentive plan. This was partially offset by a decrease of $4.9 million in professional services and $2.7 million in rent expense as we focused on materially reducing our fixed expenses in 2022 in our drive towards profitability.</w:t>
      </w:r>
    </w:p>
    <w:p>
      <w:pPr>
        <w:spacing w:after="0" w:line="1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we recognized write-off of prepaid marketing expense and reclassifications of certain sales and marketing expenses to general and administrative expenses of $10.2 million, legal and other fees of $1.2 million, partially offset by an anticipated insurance recovery of $1.9 million, related to the purported misappropriation of funds by a former senior marketing employee.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increased $14.6 million, or 73.0%, to $34.6 million for the year ended December 31, 2022 compared to 2021. The increase was primarily due to an increase in debt interest expense as a result of higher average outstanding debt and a greater average interest rate for the year ended December 31, 2022 compared to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Extinguishment of Debt</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Loss on early extinguishment of debt decreased $15.9 million, or 100.0%, to zero for the year ended December 31, 2022 compared to 2021. The decrease was driven by $15.9 million of accelerated amortization of unamortized discount and debt and warrant issuance costs from the extinguishment of our $100.0 million term loan, or Term Loan B, which was early extinguished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Total Revenue</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9"/>
        </w:trPr>
        <w:tc>
          <w:tcPr>
            <w:tcW w:w="3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89.8 %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93.0 %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700.0 %</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43"/>
        </w:trPr>
        <w:tc>
          <w:tcPr>
            <w:tcW w:w="33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466.7 %</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93.4 %</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expense (benefit)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377.8 %</w:t>
            </w:r>
          </w:p>
        </w:tc>
      </w:tr>
      <w:tr>
        <w:trPr>
          <w:trHeight w:val="270"/>
        </w:trPr>
        <w:tc>
          <w:tcPr>
            <w:tcW w:w="3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7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37"/>
        </w:trPr>
        <w:tc>
          <w:tcPr>
            <w:tcW w:w="33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31.4 %</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43.6 %</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43.6 %</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w w:val="91"/>
              </w:rPr>
              <w:t>Changes in net unrealized (losses) gains 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36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(204.0)%</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December 31, 2021 and 2020 results of operations discussion can be found in Part II, Item 7, “Results of Operations” of our Annual Report on Form 10-K for the year ended December 31,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4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Contribution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definition of direct contribution and why management believes this measure provides useful information to investors, see “— Key Performance Indicators.”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total revenue to direct contribution for the years ended December 31, 2022,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Loss and loss adjustment expenses</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(351.0)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benefit (expense)</w:t>
            </w:r>
          </w:p>
        </w:tc>
        <w:tc>
          <w:tcPr>
            <w:tcW w:w="9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Gross profit/(loss)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from other insurance benefit (expense)</w:t>
            </w:r>
            <w:r>
              <w:rPr>
                <w:rFonts w:ascii="Arial" w:cs="Arial" w:eastAsia="Arial" w:hAnsi="Arial"/>
                <w:sz w:val="23"/>
                <w:szCs w:val="23"/>
                <w:color w:val="auto"/>
                <w:vertAlign w:val="superscript"/>
              </w:rPr>
              <w:t>(1)</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Ceded premiums earned</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loss and loss adjustment expenses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7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ceding commission and other</w:t>
            </w:r>
            <w:r>
              <w:rPr>
                <w:rFonts w:ascii="Arial" w:cs="Arial" w:eastAsia="Arial" w:hAnsi="Arial"/>
                <w:sz w:val="23"/>
                <w:szCs w:val="23"/>
                <w:color w:val="auto"/>
                <w:vertAlign w:val="superscript"/>
              </w:rPr>
              <w:t>(2)</w:t>
            </w:r>
          </w:p>
        </w:tc>
        <w:tc>
          <w:tcPr>
            <w:tcW w:w="9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83"/>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contribution</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3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Adjustments from other insurance benefit (expense) includes report costs, personnel costs, allocated overhead, licenses, net commissions, professional fees and other</w:t>
      </w:r>
      <w:r>
        <w:rPr>
          <w:rFonts w:ascii="Arial" w:cs="Arial" w:eastAsia="Arial" w:hAnsi="Arial"/>
          <w:sz w:val="17"/>
          <w:szCs w:val="17"/>
          <w:color w:val="auto"/>
        </w:rPr>
        <w:t>.</w:t>
      </w:r>
    </w:p>
    <w:p>
      <w:pPr>
        <w:spacing w:after="0" w:line="178" w:lineRule="exact"/>
        <w:rPr>
          <w:rFonts w:ascii="Arial" w:cs="Arial" w:eastAsia="Arial" w:hAnsi="Arial"/>
          <w:sz w:val="14"/>
          <w:szCs w:val="14"/>
          <w:color w:val="auto"/>
        </w:rPr>
      </w:pPr>
    </w:p>
    <w:p>
      <w:pPr>
        <w:ind w:left="340" w:right="120" w:hanging="332"/>
        <w:spacing w:after="0" w:line="289"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ceding commission and other is comprised of ceding commissions received in connection with reinsurance ceded, partially offset by amortization of excess ceding commission and other impacts of reinsurance ceded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the definition of adjusted EBITDA and why management believes this measure provides useful information to investors, see “— Key Performance Indicators.” The following table provides a reconciliation of net loss to adjusted EBITDA for the years ended December 31, 2022, 2021 and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63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6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70"/>
        </w:trPr>
        <w:tc>
          <w:tcPr>
            <w:tcW w:w="636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636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Tender offer</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70"/>
        </w:trPr>
        <w:tc>
          <w:tcPr>
            <w:tcW w:w="6360" w:type="dxa"/>
            <w:vAlign w:val="bottom"/>
          </w:tcPr>
          <w:p>
            <w:pPr>
              <w:ind w:left="10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compensation expense</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100"/>
              <w:spacing w:after="0"/>
              <w:rPr>
                <w:sz w:val="20"/>
                <w:szCs w:val="20"/>
                <w:color w:val="auto"/>
              </w:rPr>
            </w:pPr>
            <w:r>
              <w:rPr>
                <w:rFonts w:ascii="Arial" w:cs="Arial" w:eastAsia="Arial" w:hAnsi="Arial"/>
                <w:sz w:val="18"/>
                <w:szCs w:val="18"/>
                <w:color w:val="auto"/>
              </w:rPr>
              <w:t>Restructuring costs</w:t>
            </w:r>
            <w:r>
              <w:rPr>
                <w:rFonts w:ascii="Arial" w:cs="Arial" w:eastAsia="Arial" w:hAnsi="Arial"/>
                <w:sz w:val="23"/>
                <w:szCs w:val="23"/>
                <w:color w:val="auto"/>
                <w:vertAlign w:val="superscript"/>
              </w:rPr>
              <w:t>(1)</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Write-off</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w:t>
            </w:r>
          </w:p>
        </w:tc>
      </w:tr>
      <w:tr>
        <w:trPr>
          <w:trHeight w:val="21"/>
        </w:trPr>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ind w:left="340" w:right="180" w:hanging="332"/>
        <w:spacing w:after="0" w:line="297" w:lineRule="auto"/>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Restructuring costs consist of severance, benefits, related costs and real estate exit costs comprising of accelerated amortization of certain right-of-use assets, leasehold improvements, furniture and fixtures. This includes $5.3 million of share-based compensation for the year ended December 31, 2022. This also includes $1.7 million of depreciation and amortization for the year ended December 31, 2022. For further information on restructuring costs, see Note 10, “Restructuring Costs,” in the Notes to Consolidated Financial Statements.</w:t>
      </w:r>
    </w:p>
    <w:p>
      <w:pPr>
        <w:spacing w:after="0" w:line="120" w:lineRule="exact"/>
        <w:rPr>
          <w:rFonts w:ascii="Arial" w:cs="Arial" w:eastAsia="Arial" w:hAnsi="Arial"/>
          <w:sz w:val="13"/>
          <w:szCs w:val="13"/>
          <w:color w:val="auto"/>
        </w:rPr>
      </w:pPr>
    </w:p>
    <w:p>
      <w:pPr>
        <w:ind w:left="220" w:hanging="212"/>
        <w:spacing w:after="0"/>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Write-off of prepaid marketing expense and reclassifications of certain sales and marketing expenses to general and administrative expenses of $10.2 million, legal and other fees of</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$1.2 million, partially offset by an anticipated insurance recovery of $1.9 million related to the purported misappropriation of funds by a former senior marketing employee.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175"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We are organized as a holding company, but our primary operations are conducted by two of our wholly owned insurance subsidiaries, Root Insurance Company, an Ohio-domiciled insurance company, and Root Property &amp; Casualty Insurance Company, a Delaware-domiciled insurance company. The payment of dividends by our insurance subsidiaries is subject to restrictions set forth in the insurance laws and regulations of the States of Ohio and Delaware. To date, our insurance subsidiaries have not paid any dividends and as of December 31, 2022, they were not permitted to pay any dividends without approval of the applicable superintendent, commissioner and/or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December 31, 2022, our insurance subsidiaries maintained a risk-based capital level that is in excess of an amount that would require any corrective actions on our part.</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wholly owned, Cayman Islands-based reinsurance subsidiary, Root Reinsurance Company, Ltd., or Root Re, maintains a Class B(iii) insurer license under Cayman Islands Monetary Authority, or CIMA. At December 31, 2022, Root Re was subject to compliance with certain capital levels and a net earned premium to capital ratio of 15:1, which was maintained as of December 31, 2022.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August 2022, a subcommittee of our board of directors approved a reverse stock split of our Class A and Class B common stock at a ratio of 1-for-18, which became effective on August 12, 2022. Accordingly, all stock, equity award, warrant, and per share amounts have been adjusted to reflect the reverse stock split for all prior periods presented.</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January 26, 2022, we closed on a $300.0 million five-year term loan, or Term Loan. The maturity of this Term Loan is January 27, 2027. Interest is payable quarterly and is determined on a floating interest rate calculated on the Secured Overnight Financing Rate, or SOFR, with a 1.0% floor, plus 9%, plus 0.26161% per annum. Concurrently with the Term Loan, we also issued to the lender warrants to purchase approximately 0.3 million shares of Class A common stock. Under certain contingent scenarios, the lender may also receive additional warrants to purchase shares of Class A common stock equal to 1.0% of the aggregate number of issued and outstanding shares of our Class A common stock on a fully-diluted basis as of the triggering date.</w:t>
      </w:r>
    </w:p>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November 2021, we repaid the outstanding Term Loan B principal balance of $100.0 million and accrued interest, including paid-in-kind, or PIK interest, and fees of $20.9 million. As a result, we recognized a $15.9 million loss on early extinguishment.</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October 2021, we consummated the transactions contemplated by the investment agreement with Carvana, or the Investment Agreement, that we entered into on August 11, 2021. We received $126.5 million of gross proceeds from the issuance of 14.1 million shares of redeemable convertible preferred stock designated as the Series A Convertible Preferred Stock. We also issued Carvana eight tranches of warrants to purchase shares of our Class A common stock. In connection with the Investment Agreement, we incurred issuance costs of $19.6 million, $9.0 million of which are contingent upon the success of the Investment Agreement as measured by achievement of certain warrant vesting milestones.</w:t>
      </w:r>
    </w:p>
    <w:p>
      <w:pPr>
        <w:spacing w:after="0" w:line="1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October 2021, upon maturity of our $100 million term loan, or Term Loan A, and expiration of the revolving loan, we repaid the outstanding Term Loan A principal balance of $98.8 million and accrued interest and fees of $0.2 million.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October 2020, we completed our initial public offering, or IPO, which resulted in the issuance and sale of 1.3 million shares of Class A common stock at the IPO price of $486.00. Concurrently, we issued and sold 1.0 million shares of our Class A common stock in private placements. We received total net proceeds of $1.1 billion after deducting underwriting discounts and other offering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had $762.1 million in cash and cash equivalents, of which $559.2 million was held outside of regulated insurance entities.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had $128.8 million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4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Our cash and cash equivalents primarily consist of bank deposits and money market funds. Our marketable securities consist of U.S. Treasury securities and agencies, municipal securities, corporate debt securities, residential and commercial mortgage-backed securities, and other debt obligations.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the foreseeable future thereafter.</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long-term capital requirements depend on many factors, including our insurance premium growth rate, rate adequacy, renewal activity, the timing and the amount of cash received from customers, the performance of our products, including the success of our embedded partnerships, loss cost trends, the timing and extent of spending to support development efforts, the introduction of new and enhanced products, the continuing market adoption of offerings on our platform, operating costs, and the ongoing uncertainty in the global markets resulting from the global COVID-19 pandemic.</w:t>
      </w:r>
    </w:p>
    <w:p>
      <w:pPr>
        <w:spacing w:after="0" w:line="1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first quarter 2022, in response to inflation and loss cost trends and to further drive efficiency and increased focus on our strategic priorities we instituted an organizational realignment, including an involuntary workforce reduction affecting approximately 330 employees, which represented approximately 20% of our workforce at the time. During the fourth quarter 2022, we initiated a company-wide involuntary workforce reduction affecting approximately 160 employees, which represented approximately 20% of our workforce at the time. The action taken as part of our efforts to improve efficiency and operating costs, and prioritize resources to further strengthen our pricing and underwriting foundation and the continued development of our embedded products. In 2023, we expect to incur approximately $6.6 million of employee compensation expense, dependent upon continuous employment for certain employees, to be recognized ratably through the fourth quarter of 2023. We expect a cash expenditure related to these employee compensation costs in the first quarter of 2024. For additional information regarding organizational realignment and involuntary workforce reductions refer to Note 10, “Restructuring Costs,” in the Notes to Consolidated Financial Statements.</w:t>
      </w:r>
    </w:p>
    <w:p>
      <w:pPr>
        <w:spacing w:after="0" w:line="12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Currently, our debt covenants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Through prudent deployment of capital we believe we have sufficient resources, and access to additional debt and equity capital, to adequately meet our obligations as they come due.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5"/>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(210.6)</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50"/>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21"/>
                <w:szCs w:val="21"/>
                <w:color w:val="auto"/>
              </w:rPr>
            </w:pP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(80.3)</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Net cash used in operating activities for the year ended December 31, 2022 was $210.6 million compared to $403.4 million of net cash used in operating activities for the year ended December 31, 2021. The decrease in cash used in operating activities was due to a decline in net loss incurred primarily as a result of a reduction in sales and marketing expense due to a shift in direct marketing strategy in response to changing macroeconomic factors and competitive environment and lower payroll, employee-related expenditures and facility costs due to an organizational realignment and involuntary workforce reductions. In addition, timing of premium receipts,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receipts and payments related to reinsurance activity, and claims payments contributed to the decrease in cash used in operating activities during the year ended December 31, 2022 compared to the prior year.</w:t>
      </w:r>
    </w:p>
    <w:p>
      <w:pPr>
        <w:spacing w:after="0" w:line="11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used in investing activities for the year ended December 31, 2022 was $16.6 million, primarily due to purchases of investments, capitalization of internally developed software, and purchases of indefinite-lived intangible assets, partially offset by proceeds from maturities, calls and pay downs, and sales of investments. Net cash provided by investing activities for the year ended December 31, 2021 was $76.9 million, primarily due to proceeds from sales, maturities, calls and pay downs of investments, partially offset by purchases of investments and other debt obligations.</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2022 was $283.3 million, primarily due to proceeds from our Term Loan. Net cash used in financing activities for the year ended December 31, 2021 was $80.3 million, primarily due to the pay down of debt and payment of preferred stock and related warrants issuance costs, partially offset by proceeds from the issuance of preferred stock and related warrants in connection with our partnership with Carvana.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December 31, 2021 and 2020 net cash discussion can be found in Part II, Item 7, “Liquidity and Capital Resources,” of our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from Contractual and Other Obligations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2022, our material cash requirements from known contractual and other obligations consisted of purchase commitments, as discussed in Note 13, “Commitments and Contingencies,”, operating leases, as discussed in Note 8, “Leases,” and a Term Loan, as discussed in Note 7, “Long-Term Debt,” in the Notes to Consolidated Financial Statements. We believe we have sufficient resources, and access to additional debt and equity capital, to adequately meet our obligations as they come due.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premium write-offs, and valuation allowance on our deferred tax assets.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believe that the accounting estimates described below involve a significant degree of judgment and complexity. Accordingly, we believe these are the most critical to aid in fully understanding and evaluating our consolidated financial condition and results of operations. For further information, see Note 2, “Basis of Presentation and Summary of Significant Accounting Policies,” in the Notes to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and LAE Reserves</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Loss and LAE reserves represent management’s best estimate of the ultimate liability for all reported and unreported claims that occurred prior to the end of each accounting period but have not yet been paid. These reserves are established to cover the estimated ultimate cost to settle insured losses. Loss and LAE reserves include an amount determined using adjuster determined case-base estimates for reported claims and on actuarial unpaid claim estimates using past experience and historical emergence patterns for unreported loss and LAE. Case reserve amounts are determined by claims adjusters following our case reserving practices, which consider the circumstances presented with each claimant, applicable policy provisions, and state law. The unpaid claim estimates consider loss cost trends, mix of business, and other risk factors impacting claims settlement. The methods used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estimate ultimate loss reserves by accident month include reported loss development, paid loss development, expected loss ratio, or ELR, frequency-severity, premium based Bornhuetter/Ferguson, or B/F, and exposure based B/F using frequency-severity. The method used to estimate unpaid LAE reserves is determined by a transaction-based allocation method where historical claim department activities are measured by their relative effort or cost for handling different claim types. Our estimation for unpaid LAE reserves includes the ultimate cost of settling a range of claim types from express material damage claims to more complex bodily injury cases.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evaluation and estimation of ultimate losses and LAE requires considerable judgment in understanding how claims mature, how claims differ between lines of business, and how changes in the business impact claims settlement over time. Loss reserves represent a liability estimate at a given point in time based on many input variables including historical and statistical information, inflation, contract interpretation, weather catastrophe impacts, regulatory environment, and economic conditions. While we consider many inputs into the loss reserve valuation process, as well as several actuarial methodologies, there is no single method for determining the exact ultimate claims liability. In many cases, we use multiple estimation methods based on the particular facts and circumstances of the claims and liabilities being evaluated, resulting in a range of reasonable estimates for reserves for losses and LAE. We do not discount reserves.</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actuarial reserving team performs monthly reviews of the claims experience and loss emergence to support our estimation of ultimate losses and LAE. A few considerations and assumptions in estimating ultimate claim liabilities includes relative case reserve adequacy over time, claims cycle time, claims settlement practices, exposure growth, actuarial projections, current economic conditions, driving patterns observed from telematics, weather catastrophes, and claim litigation. Our loss reserves can be grouped by claim type, where amounts related to material damage of vehicles and property tend to settle within six to 12 months, while claims that involve injuries or personal liability have a much longer time period between the occurrence of a loss and the settlement of the claim. In general, the longer the time span between the incidence of a loss and the settlement of the claim, the more the ultimate settlement amount can vary.</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actual experience can differ from key assumptions used in establishing reserves, there is potential for significant variation in the development of loss reserves. There is considerable uncertainty associated with the actuarial estimates, and therefore the actual losses and LAE paid in the future may differ materially from the reserves we have recorded. Our loss estimates are continually reviewed by management and adjusted as necessary; with adjustments included in the period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key assumptions that materially affect the estimate of the reserves for loss and LAE are as follows:</w:t>
      </w:r>
    </w:p>
    <w:p>
      <w:pPr>
        <w:spacing w:after="0" w:line="171" w:lineRule="exact"/>
        <w:rPr>
          <w:sz w:val="20"/>
          <w:szCs w:val="20"/>
          <w:color w:val="auto"/>
        </w:rPr>
      </w:pPr>
    </w:p>
    <w:p>
      <w:pPr>
        <w:jc w:val="both"/>
        <w:ind w:right="260" w:firstLine="8"/>
        <w:spacing w:after="0" w:line="263"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Many of the actuarial estimation methods assume that the speed of claim payments and claim closures, also known as cycle time, remains relatively consistent over time. While fluctuations and improvements in cycle time are expected as we grow, these timing changes can be difficult to discern from normal process risk variability in the data.</w:t>
      </w:r>
    </w:p>
    <w:p>
      <w:pPr>
        <w:spacing w:after="0" w:line="129" w:lineRule="exact"/>
        <w:rPr>
          <w:rFonts w:ascii="Arial" w:cs="Arial" w:eastAsia="Arial" w:hAnsi="Arial"/>
          <w:sz w:val="18"/>
          <w:szCs w:val="18"/>
          <w:color w:val="auto"/>
        </w:rPr>
      </w:pPr>
    </w:p>
    <w:p>
      <w:pPr>
        <w:ind w:right="20" w:firstLine="8"/>
        <w:spacing w:after="0" w:line="263" w:lineRule="auto"/>
        <w:tabs>
          <w:tab w:leader="none" w:pos="3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actuarial methods that rely on case reserve data, there is an implicit assumption that the adequacy of case reserve estimates stays relatively constant over time. For example, if the held case reserves represent the 50th percentile outcome for each claim, then any changes to this case reserve level, either higher or lower, would impact the ultimate loss estimates.</w:t>
      </w:r>
    </w:p>
    <w:p>
      <w:pPr>
        <w:spacing w:after="0" w:line="129" w:lineRule="exact"/>
        <w:rPr>
          <w:rFonts w:ascii="Arial" w:cs="Arial" w:eastAsia="Arial" w:hAnsi="Arial"/>
          <w:sz w:val="18"/>
          <w:szCs w:val="18"/>
          <w:color w:val="auto"/>
        </w:rPr>
      </w:pPr>
    </w:p>
    <w:p>
      <w:pPr>
        <w:jc w:val="both"/>
        <w:ind w:right="160" w:firstLine="8"/>
        <w:spacing w:after="0" w:line="311" w:lineRule="auto"/>
        <w:tabs>
          <w:tab w:leader="none" w:pos="3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Actuarial methods that rely on exposure bases, such as premiums or car years, perform better when the mix of business is relatively stable over time. Business growth can change the mix of business across several dimensions: new business versus renewal, geography profile, and underwriting profile. As such, prior estimates of claim frequency, claim severity, or loss ratio may not be as predictive of future results when the mix of business changes.</w:t>
      </w:r>
    </w:p>
    <w:p>
      <w:pPr>
        <w:spacing w:after="0" w:line="94" w:lineRule="exact"/>
        <w:rPr>
          <w:rFonts w:ascii="Arial" w:cs="Arial" w:eastAsia="Arial" w:hAnsi="Arial"/>
          <w:sz w:val="16"/>
          <w:szCs w:val="16"/>
          <w:color w:val="auto"/>
        </w:rPr>
      </w:pPr>
    </w:p>
    <w:p>
      <w:pPr>
        <w:ind w:right="240" w:firstLine="8"/>
        <w:spacing w:after="0" w:line="308" w:lineRule="auto"/>
        <w:tabs>
          <w:tab w:leader="none" w:pos="319" w:val="left"/>
        </w:tabs>
        <w:numPr>
          <w:ilvl w:val="0"/>
          <w:numId w:val="28"/>
        </w:numPr>
        <w:rPr>
          <w:rFonts w:ascii="Arial" w:cs="Arial" w:eastAsia="Arial" w:hAnsi="Arial"/>
          <w:sz w:val="17"/>
          <w:szCs w:val="17"/>
          <w:color w:val="auto"/>
        </w:rPr>
      </w:pPr>
      <w:r>
        <w:rPr>
          <w:rFonts w:ascii="Arial" w:cs="Arial" w:eastAsia="Arial" w:hAnsi="Arial"/>
          <w:sz w:val="17"/>
          <w:szCs w:val="17"/>
          <w:color w:val="auto"/>
        </w:rPr>
        <w:t>Broader macro level economics can have a material impact on loss reserve estimates, such as a rapid change in miles driven, unanticipated inflation, regulatory restrictions, and legal developments as they relate to contract and coverage interpretation and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Due to the inherent uncertainty in determining our ultimate cost of settling claims, we evaluate what the potential impact on consolidated results of operations, financial position, and liquidity would be based on a hypothetical 5% and 10% increase or decrease in key assumptions described above. The loss reserve range noted below represents a range of reasonably likely reserves, not a range of all possible reserves. Therefore, the ultimate losses could reach levels corresponding to reserve amounts outside of the range provided. Given our growth from inception in 2015, we believe evaluating sensitivity based on a hypothetical increase or decrease of 5% and 10% is reflective of management’s best estimate and provides an illustrative range of variability in key assumptions. The below tables present this sensitivity analysis: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20" w:type="dxa"/>
            <w:vAlign w:val="bottom"/>
            <w:gridSpan w:val="11"/>
          </w:tcPr>
          <w:p>
            <w:pPr>
              <w:spacing w:after="0"/>
              <w:rPr>
                <w:sz w:val="20"/>
                <w:szCs w:val="20"/>
                <w:color w:val="auto"/>
              </w:rPr>
            </w:pPr>
            <w:r>
              <w:rPr>
                <w:rFonts w:ascii="Arial" w:cs="Arial" w:eastAsia="Arial" w:hAnsi="Arial"/>
                <w:sz w:val="14"/>
                <w:szCs w:val="14"/>
                <w:b w:val="1"/>
                <w:bCs w:val="1"/>
                <w:color w:val="auto"/>
                <w:w w:val="93"/>
              </w:rPr>
              <w:t>Scenarios for Changes in Bodily Injury Claim Severity for all Accident Years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3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3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5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10%</w:t>
            </w:r>
          </w:p>
        </w:tc>
      </w:tr>
      <w:tr>
        <w:trPr>
          <w:trHeight w:val="22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Bodily injury liability</w:t>
            </w:r>
          </w:p>
        </w:tc>
        <w:tc>
          <w:tcPr>
            <w:tcW w:w="94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100.3</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Uninsured and underinsured bodily injury</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coverages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3"/>
        </w:trPr>
        <w:tc>
          <w:tcPr>
            <w:tcW w:w="3620" w:type="dxa"/>
            <w:vAlign w:val="bottom"/>
          </w:tcPr>
          <w:p>
            <w:pPr>
              <w:ind w:left="140"/>
              <w:spacing w:after="0"/>
              <w:rPr>
                <w:sz w:val="20"/>
                <w:szCs w:val="20"/>
                <w:color w:val="auto"/>
              </w:rPr>
            </w:pPr>
            <w:r>
              <w:rPr>
                <w:rFonts w:ascii="Arial" w:cs="Arial" w:eastAsia="Arial" w:hAnsi="Arial"/>
                <w:sz w:val="18"/>
                <w:szCs w:val="18"/>
                <w:color w:val="auto"/>
              </w:rPr>
              <w:t>Total losses—net of reinsurance</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161.4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168.4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r>
      <w:tr>
        <w:trPr>
          <w:trHeight w:val="20"/>
        </w:trPr>
        <w:tc>
          <w:tcPr>
            <w:tcW w:w="3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loss and LAE reserves are recorded net of external reinsurance and net of amounts expected to be received from salvage (the amount recovered from the damaged property after the we pay for a total loss) and subrogation (the right to recover payments from third parties).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Fee Income and Related Expenses</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Premiums written are deferred and earned pro rata over the policy period. Unearned 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acquisition costs and, if necessary, by accruing an additional liability for the deficiency, with a corresponding charge to operations. We did not record a premium deficiency reserve in 2022 or 2021.</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2021, we commenced a fronting arrangement with an unaffiliated Texas county mutual insurance company, or the fronting carrier. We route all of our new auto policies and, over time, expect to route certain renewal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Through this fronting arrangement, we have greater rating and underwriting flexibility that we believe will allow us to more accurately segment risk in Texas to improve profitability.</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doubtful accounts based primarily on an analysis of historical collection experience, adjusted for current economic conditions. Allowance for credit losses was $2.8 million and $5.4 million as of December 31, 2022 and 2021, respectively, on the consolidated balance sheets. A policy is generally considered past due on the first day after its due date and policies greater than 90 days past due are written-off. We recognized premium write-offs, or bad debt expense, of $17.4 million, $20.9 million and $23.6 million for the years ended December 31, 2022, 2021 and 2020 respectively.</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those policyholders who pay premiums on an installment basis, we charge a flat fee for each installment related to the additional administrative costs associated with processing more frequent billings. We recognize this fee income in the period which we process each installment.</w:t>
      </w:r>
    </w:p>
    <w:p>
      <w:pPr>
        <w:spacing w:after="0" w:line="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Policy acquisition costs, which consists of premium taxes, certain marketing costs and underwriting expenses, and certain commissions, net of ceding commissions, related to the successful acquisition of new or renewal business, are deferred and amortized over the same period in which the related premiums are earned. 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acquisition costs. Any portion of the ceding commission that exceeds the acquisition costs of the business ceded is recorded as excess ceding commission, a deferred liability, and amortized over the same period in which the related premiums are earned.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ordinary course of business, we cede and retrocede a portion of our business written and assumed, respectively, to reinsurers to limit 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a reduction of unearned premiums in Note 6, “Reinsurance,” in the Notes to Consolidated Financial Statements. Ceding commissions earned in connection with reinsurance ceded have been accounted for as a reduction of other insurance (benefit) expense in the consolidated statements of operations and comprehensive loss.</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Some of our reinsurance agreements provide for amount of coverage based on loss experience referred to as loss corridors and loss ratio caps. We recognize the asset or liability arising from these adjustable features in the period the adjustment occurs, which is calculated based on experience to-date under the agreement.</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reinsurance from a diverse group of global reinsurers and monitor concentration as well as financial strength ratings of the reinsurers to minimize counterparty credit risk. For our reinsurance partners who are not rated, we require adequate levels of collateral or letters of credit to be available to us in the event of downside scenarios. To recognize this risk of credit loss, we have established an allowance for credit losses based on the probability of default and the expected loss given default as influenced by factors such as the reinsurer’s credit rating and average life of our reinsurance recoverables. Allowance for credit losses was $0.2 million as of December 31, 2022 and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Net Deferred Tax Assets</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We calculate the tax effects of temporary differences that give rise to deferred tax assets and deferred tax liabilities in accordance with Accounting Standards Codification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or ASC 740. The application of ASC 740 requires a company to evaluate the recoverability of deferred tax assets and to establish a valuation allowance if necessary 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may be unable to fully use our net operating losses, or NOLs, if at all. Under Section 382 of the Internal Revenue Code, or the Code, if a corporation undergoes an “ownership change”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The limitation may be such that it prevents the Company from fully utilizing its NOLs existing at the time of the ownership change prior to their expiration, which could also result in a substantial reduction in the deferred tax asset. We currently carry a valuation allowance against our entire net deferred tax asset. As such, any reduction in the deferred tax asset would also result in an offsetting reduction in the valuation allowance.</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experienced an ownership change. In connection with this ownership change, we do not expect that the limitation under Section 382 of the Code will result in any material reduction in our ability to use pre-ownership change NOLs in the future nor require a reduction in the associated deferred tax asset (or adjustment to the valuation allowance). We may still experience additional ownership changes in the future as a result of subsequent shifts in ownership, which could result in additional limitations on our NOL usage.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certain interest and credit rate risks as part of our ongoing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exposed to interest rate risk on our investment portfolio. Interest rate risk is the risk that we will incur losses due to adverse changes in interest rates relative to the interest rate characteristics of interest bearing assets and liabilities. Our fixed maturity investments include U.S. Treasury securities, municipal securities, corporate debt securities, residential mortgage-backed securities, commercial mortgage-backed securities, and other debt obligations portfolio, most of which are exposed to changes in prevailing interest rates and which may experience moderate fluctuations in fair value resulting from changes in interest rates. The fair market value of a portfolio of debt securities increases or decreases inversely with changes in market interest rates, while net investment income realized from future investments in debt securities increases or decreases along with interest rates. We monitor this exposure through periodic reviews of investment portfolio by our management.</w:t>
      </w:r>
    </w:p>
    <w:p>
      <w:pPr>
        <w:spacing w:after="0" w:line="123"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are also exposed to interest rate risk through our term loan facility which incurs interest at floating rates based on changes in the SOFR. Rising interest rates could have an adverse impact on the cost of debt and results in less cash available to utilize in our operations, and could have a material adverse effect on our business and financial condition. A 1% fluctuation in SOFR would not have significantly impacted interest expense during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exposed to credit risk on our investment portfolio and our reinsurance contracts. Credit risk results from uncertainty in a counterparty’s ability to meet its obligations. We monitor our investment portfolio to ensure that credit risk does not exceed prudent levels. We manage the exposure to credit risk in our U.S. Treasury securities, municipal securities, corporate debt securities, residential mortgage-backed securities, commercial mortgage-backed securities, and other debt obligations portfolio by investing in high credit quality, investment grade securities and diversifying our holdings. We manage the exposure to credit risk in our reinsurance contracts by obtaining reinsurance from a diverse group of reinsurers and monitoring concentration as well as financial strength ratings of the reinsurers to minimize counterparty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60" w:type="dxa"/>
            <w:vAlign w:val="bottom"/>
            <w:gridSpan w:val="7"/>
          </w:tcPr>
          <w:p>
            <w:pPr>
              <w:ind w:left="16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1640" w:type="dxa"/>
            <w:vAlign w:val="bottom"/>
            <w:gridSpan w:val="4"/>
            <w:vMerge w:val="restart"/>
          </w:tcPr>
          <w:p>
            <w:pPr>
              <w:ind w:left="12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92"/>
              </w:rPr>
              <w:t>Report of Independent Registered Public Accounting Firm (PCAOB ID: 34)</w:t>
            </w:r>
          </w:p>
        </w:tc>
        <w:tc>
          <w:tcPr>
            <w:tcW w:w="39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0000FF"/>
            </w:tcBorders>
          </w:tcPr>
          <w:p>
            <w:pPr>
              <w:jc w:val="center"/>
              <w:spacing w:after="0"/>
              <w:rPr>
                <w:sz w:val="20"/>
                <w:szCs w:val="20"/>
                <w:color w:val="auto"/>
              </w:rPr>
            </w:pPr>
            <w:r>
              <w:rPr>
                <w:rFonts w:ascii="Arial" w:cs="Arial" w:eastAsia="Arial" w:hAnsi="Arial"/>
                <w:sz w:val="18"/>
                <w:szCs w:val="18"/>
                <w:color w:val="0000FF"/>
                <w:w w:val="89"/>
              </w:rPr>
              <w:t>83</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Consolidated Balance Sheets</w:t>
            </w:r>
          </w:p>
        </w:tc>
        <w:tc>
          <w:tcPr>
            <w:tcW w:w="7340" w:type="dxa"/>
            <w:vAlign w:val="bottom"/>
            <w:gridSpan w:val="8"/>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9"/>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1540" w:type="dxa"/>
            <w:vAlign w:val="bottom"/>
            <w:gridSpan w:val="3"/>
          </w:tcPr>
          <w:p>
            <w:pPr>
              <w:jc w:val="center"/>
              <w:ind w:left="1270"/>
              <w:spacing w:after="0"/>
              <w:rPr>
                <w:sz w:val="20"/>
                <w:szCs w:val="20"/>
                <w:color w:val="auto"/>
              </w:rPr>
            </w:pPr>
            <w:r>
              <w:rPr>
                <w:rFonts w:ascii="Arial" w:cs="Arial" w:eastAsia="Arial" w:hAnsi="Arial"/>
                <w:sz w:val="18"/>
                <w:szCs w:val="18"/>
                <w:color w:val="0000FF"/>
                <w:w w:val="89"/>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0000FF"/>
              </w:rPr>
              <w:t>Consolidated Statements of Redeemable Convertible Preferred Stock and Stockholders' Equity</w:t>
            </w:r>
          </w:p>
        </w:tc>
        <w:tc>
          <w:tcPr>
            <w:tcW w:w="1540" w:type="dxa"/>
            <w:vAlign w:val="bottom"/>
            <w:gridSpan w:val="3"/>
          </w:tcPr>
          <w:p>
            <w:pPr>
              <w:jc w:val="center"/>
              <w:ind w:left="1270"/>
              <w:spacing w:after="0"/>
              <w:rPr>
                <w:sz w:val="20"/>
                <w:szCs w:val="20"/>
                <w:color w:val="auto"/>
              </w:rPr>
            </w:pPr>
            <w:r>
              <w:rPr>
                <w:rFonts w:ascii="Arial" w:cs="Arial" w:eastAsia="Arial" w:hAnsi="Arial"/>
                <w:sz w:val="18"/>
                <w:szCs w:val="18"/>
                <w:color w:val="0000FF"/>
                <w:w w:val="89"/>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Consolidated Statements of Cash Flows</w:t>
            </w:r>
          </w:p>
        </w:tc>
        <w:tc>
          <w:tcPr>
            <w:tcW w:w="3940" w:type="dxa"/>
            <w:vAlign w:val="bottom"/>
            <w:tcBorders>
              <w:top w:val="single" w:sz="8" w:color="0000FF"/>
            </w:tcBorders>
            <w:gridSpan w:val="6"/>
          </w:tcPr>
          <w:p>
            <w:pPr>
              <w:spacing w:after="0"/>
              <w:rPr>
                <w:sz w:val="18"/>
                <w:szCs w:val="18"/>
                <w:color w:val="auto"/>
              </w:rPr>
            </w:pPr>
          </w:p>
        </w:tc>
        <w:tc>
          <w:tcPr>
            <w:tcW w:w="2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89"/>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280" w:type="dxa"/>
            <w:vAlign w:val="bottom"/>
            <w:gridSpan w:val="6"/>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89"/>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Schedule II: Condensed Combined Financial Information of Registrant</w:t>
            </w:r>
          </w:p>
        </w:tc>
        <w:tc>
          <w:tcPr>
            <w:tcW w:w="4320" w:type="dxa"/>
            <w:vAlign w:val="bottom"/>
            <w:gridSpan w:val="3"/>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79"/>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40" w:type="dxa"/>
            <w:vAlign w:val="bottom"/>
            <w:gridSpan w:val="9"/>
          </w:tcPr>
          <w:p>
            <w:pPr>
              <w:spacing w:after="0"/>
              <w:rPr>
                <w:sz w:val="20"/>
                <w:szCs w:val="20"/>
                <w:color w:val="auto"/>
              </w:rPr>
            </w:pPr>
            <w:r>
              <w:rPr>
                <w:rFonts w:ascii="Arial" w:cs="Arial" w:eastAsia="Arial" w:hAnsi="Arial"/>
                <w:sz w:val="18"/>
                <w:szCs w:val="18"/>
                <w:color w:val="0000FF"/>
              </w:rPr>
              <w:t>Schedule V: Valuation and Qualifying Accounts</w:t>
            </w:r>
          </w:p>
        </w:tc>
        <w:tc>
          <w:tcPr>
            <w:tcW w:w="1640" w:type="dxa"/>
            <w:vAlign w:val="bottom"/>
            <w:gridSpan w:val="4"/>
          </w:tcPr>
          <w:p>
            <w:pPr>
              <w:jc w:val="center"/>
              <w:ind w:left="1190"/>
              <w:spacing w:after="0"/>
              <w:rPr>
                <w:sz w:val="20"/>
                <w:szCs w:val="20"/>
                <w:color w:val="auto"/>
              </w:rPr>
            </w:pPr>
            <w:r>
              <w:rPr>
                <w:rFonts w:ascii="Arial" w:cs="Arial" w:eastAsia="Arial" w:hAnsi="Arial"/>
                <w:sz w:val="18"/>
                <w:szCs w:val="18"/>
                <w:color w:val="0000FF"/>
                <w:w w:val="93"/>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Schedules other than those listed above are omitted for the reason that they are not required, are not applicable or that equivalent information has been included in the consolidated financial statements or notes thereto or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8" w:name="page89"/>
    <w:bookmarkEnd w:id="88"/>
    <w:p>
      <w:pPr>
        <w:spacing w:after="0" w:line="140" w:lineRule="exact"/>
        <w:rPr>
          <w:sz w:val="20"/>
          <w:szCs w:val="20"/>
          <w:color w:val="auto"/>
        </w:rPr>
      </w:pPr>
    </w:p>
    <w:p>
      <w:pPr>
        <w:ind w:right="2520" w:firstLine="2535"/>
        <w:spacing w:after="0" w:line="52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Root, Inc. </w:t>
      </w:r>
      <w:r>
        <w:rPr>
          <w:rFonts w:ascii="Arial" w:cs="Arial" w:eastAsia="Arial" w:hAnsi="Arial"/>
          <w:sz w:val="18"/>
          <w:szCs w:val="18"/>
          <w:b w:val="1"/>
          <w:bCs w:val="1"/>
          <w:color w:val="auto"/>
        </w:rPr>
        <w:t>Opinion on the Financial Statements</w:t>
      </w:r>
    </w:p>
    <w:p>
      <w:pPr>
        <w:spacing w:after="0" w:line="23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audited the accompanying consolidated balance sheets of Root, Inc. and subsidiaries (the "Company") as of December 31, 2022 and 2021, the related consolidated statements of operations and comprehensive loss, redeemable convertible preferred stock and stockholders' equity, and cash flows, for each of the three years in the period ended December 31, 2022, and the related notes and the schedules listed in the Index at Item 8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22, 2023, expressed an adverse opinion on the Company's internal control over financial reporting because of a material weakness.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right="4060"/>
        <w:spacing w:after="0" w:line="438" w:lineRule="auto"/>
        <w:rPr>
          <w:sz w:val="20"/>
          <w:szCs w:val="20"/>
          <w:color w:val="auto"/>
        </w:rPr>
      </w:pPr>
      <w:r>
        <w:rPr>
          <w:rFonts w:ascii="Arial" w:cs="Arial" w:eastAsia="Arial" w:hAnsi="Arial"/>
          <w:sz w:val="18"/>
          <w:szCs w:val="18"/>
          <w:b w:val="1"/>
          <w:bCs w:val="1"/>
          <w:i w:val="1"/>
          <w:iCs w:val="1"/>
          <w:color w:val="auto"/>
        </w:rPr>
        <w:t xml:space="preserve">Loss and Loss Adjustment Expense Reserves – Refer to Notes 2 and 5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2022, loss and loss adjustment expense reserves were $287.4 million. The Company’s loss and loss adjustment expense reserves are determined by the Company using actuarial methods, models, assumptions, and judgment to estimate the reserves required to cover the amount required to settle insured losses as of the financial 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Loss and loss adjustment expense reserves are inherently uncertain as to timing and amount and the recorded loss and loss adjustment expense reserves may vary materially from the actual ultimate cost of claims, particularly related to those reserves where there is a longer time span between the incidence of a loss and the settlement of a claim. Given the subjectivity in estimating the ultimate loss and loss adjustment expense reserves, due to input variables such as historical and statistical information, inflation, contract interpretation, weather catastrophe impacts, regulatory environment, and economic conditions, among other factors, auditing loss and loss adjustment expense reserves, particularly related to those reserves over a longer periods of time, involved an especially high degree of auditor judgment, including the need to involve our actuarial specialists.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loss and loss adjustment expense reserves included the following, among others:</w:t>
      </w:r>
    </w:p>
    <w:p>
      <w:pPr>
        <w:spacing w:after="0" w:line="198" w:lineRule="exact"/>
        <w:rPr>
          <w:sz w:val="20"/>
          <w:szCs w:val="20"/>
          <w:color w:val="auto"/>
        </w:rPr>
      </w:pPr>
    </w:p>
    <w:p>
      <w:pPr>
        <w:ind w:left="660" w:hanging="166"/>
        <w:spacing w:after="0"/>
        <w:tabs>
          <w:tab w:leader="none" w:pos="660" w:val="left"/>
        </w:tabs>
        <w:numPr>
          <w:ilvl w:val="0"/>
          <w:numId w:val="29"/>
        </w:numPr>
        <w:rPr>
          <w:rFonts w:ascii="Arial" w:cs="Arial" w:eastAsia="Arial" w:hAnsi="Arial"/>
          <w:sz w:val="19"/>
          <w:szCs w:val="19"/>
          <w:color w:val="auto"/>
        </w:rPr>
      </w:pPr>
      <w:r>
        <w:rPr>
          <w:rFonts w:ascii="Arial" w:cs="Arial" w:eastAsia="Arial" w:hAnsi="Arial"/>
          <w:sz w:val="16"/>
          <w:szCs w:val="16"/>
          <w:color w:val="auto"/>
        </w:rPr>
        <w:t>We tested the effectiveness of controls related to loss and loss adjustment expense reserves, including those over the Company’s actuarial estimate.</w:t>
      </w:r>
    </w:p>
    <w:p>
      <w:pPr>
        <w:spacing w:after="0" w:line="163" w:lineRule="exact"/>
        <w:rPr>
          <w:rFonts w:ascii="Arial" w:cs="Arial" w:eastAsia="Arial" w:hAnsi="Arial"/>
          <w:sz w:val="19"/>
          <w:szCs w:val="19"/>
          <w:color w:val="auto"/>
        </w:rPr>
      </w:pPr>
    </w:p>
    <w:p>
      <w:pPr>
        <w:ind w:left="660" w:hanging="166"/>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We tested the completeness and accuracy of the underlying key data inputs that served as the basis for the actuarial estimate.</w:t>
      </w:r>
    </w:p>
    <w:p>
      <w:pPr>
        <w:spacing w:after="0" w:line="174" w:lineRule="exact"/>
        <w:rPr>
          <w:rFonts w:ascii="Arial" w:cs="Arial" w:eastAsia="Arial" w:hAnsi="Arial"/>
          <w:sz w:val="22"/>
          <w:szCs w:val="22"/>
          <w:color w:val="auto"/>
        </w:rPr>
      </w:pPr>
    </w:p>
    <w:p>
      <w:pPr>
        <w:jc w:val="both"/>
        <w:ind w:left="660" w:hanging="166"/>
        <w:spacing w:after="0" w:line="269"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With the assistance of our actuarial specialists, we used the Company’s claims data to develop a range of independent estimates for the loss and loss adjustment expense reserves, particularly related to those over a longer period of time. We used these independent estimates to assess the reasonableness of the Company’s reserves by comparing our estimates to the Company’s recorded loss and loss adjustment expense reserves.</w:t>
      </w:r>
    </w:p>
    <w:p>
      <w:pPr>
        <w:spacing w:after="0" w:line="152" w:lineRule="exact"/>
        <w:rPr>
          <w:rFonts w:ascii="Arial" w:cs="Arial" w:eastAsia="Arial" w:hAnsi="Arial"/>
          <w:sz w:val="19"/>
          <w:szCs w:val="19"/>
          <w:color w:val="auto"/>
        </w:rPr>
      </w:pPr>
    </w:p>
    <w:p>
      <w:pPr>
        <w:ind w:left="660" w:hanging="166"/>
        <w:spacing w:after="0" w:line="225"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We compared the Company’s prior year estimates of expected loss and loss adjustment expense reserves to actual experience during the current year to identify potential bias in the determination of loss and loss adjustment expense reserves.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22, 2023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 AND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(in millions, except par value)</w:t>
            </w:r>
          </w:p>
        </w:tc>
        <w:tc>
          <w:tcPr>
            <w:tcW w:w="0" w:type="dxa"/>
            <w:vAlign w:val="bottom"/>
          </w:tcPr>
          <w:p>
            <w:pPr>
              <w:spacing w:after="0"/>
              <w:rPr>
                <w:sz w:val="1"/>
                <w:szCs w:val="1"/>
                <w:color w:val="auto"/>
              </w:rPr>
            </w:pPr>
          </w:p>
        </w:tc>
      </w:tr>
      <w:tr>
        <w:trPr>
          <w:trHeight w:val="39"/>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Fixed maturities available-for-sale, at fair value (amortized cost: $134.2 and $129.5 at December 31, 2022 and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2021, respectively)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76"/>
        </w:trPr>
        <w:tc>
          <w:tcPr>
            <w:tcW w:w="8260" w:type="dxa"/>
            <w:vAlign w:val="bottom"/>
          </w:tcPr>
          <w:p>
            <w:pPr>
              <w:ind w:left="240"/>
              <w:spacing w:after="0" w:line="176" w:lineRule="exact"/>
              <w:rPr>
                <w:sz w:val="20"/>
                <w:szCs w:val="20"/>
                <w:color w:val="auto"/>
              </w:rPr>
            </w:pPr>
            <w:r>
              <w:rPr>
                <w:rFonts w:ascii="Arial" w:cs="Arial" w:eastAsia="Arial" w:hAnsi="Arial"/>
                <w:sz w:val="18"/>
                <w:szCs w:val="18"/>
                <w:color w:val="auto"/>
                <w:w w:val="97"/>
              </w:rPr>
              <w:t>Short-term investments (amortized cost: $0.4 and zero at December 31, 2022 and December 31, 2021,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Premiums receivable, net of allowance of $2.8 and $5.4 at December 31, 2022 and December 31, 2021,</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w w:val="89"/>
              </w:rPr>
              <w:t>Reinsurance recoverable and receivable, net of allowance of $0.2 at December 31, 2022 and December 31, 2021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reinsurance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Loss and loss adjustment expense reserves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Long-term debt and warrants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premiums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0"/>
              </w:rPr>
              <w:t>Redeemable convertible preferred stock, $0.0001 par value, 14.1 shares issued and outstanding at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2022 and December 31, 2021 (liquidation preference of $126.5) (Note 11)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140"/>
              <w:spacing w:after="0" w:line="176" w:lineRule="exact"/>
              <w:rPr>
                <w:sz w:val="20"/>
                <w:szCs w:val="20"/>
                <w:color w:val="auto"/>
              </w:rPr>
            </w:pPr>
            <w:r>
              <w:rPr>
                <w:rFonts w:ascii="Arial" w:cs="Arial" w:eastAsia="Arial" w:hAnsi="Arial"/>
                <w:sz w:val="18"/>
                <w:szCs w:val="18"/>
                <w:color w:val="auto"/>
                <w:w w:val="89"/>
              </w:rPr>
              <w:t>Class A common stock, $0.0001 par value, 9.2 and 7.9 shares issued and outstanding at December 31, 2022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line="243" w:lineRule="exact"/>
              <w:rPr>
                <w:sz w:val="20"/>
                <w:szCs w:val="20"/>
                <w:color w:val="auto"/>
              </w:rPr>
            </w:pPr>
            <w:r>
              <w:rPr>
                <w:rFonts w:ascii="Arial" w:cs="Arial" w:eastAsia="Arial" w:hAnsi="Arial"/>
                <w:sz w:val="18"/>
                <w:szCs w:val="18"/>
                <w:color w:val="auto"/>
              </w:rPr>
              <w:t>December 31, 2021, respectively (Note 11)</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Class B common stock, $0.0001 par value, 5.0 and 6.1 shares issued and outstanding at December 31, 2022 and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line="243" w:lineRule="exact"/>
              <w:rPr>
                <w:sz w:val="20"/>
                <w:szCs w:val="20"/>
                <w:color w:val="auto"/>
              </w:rPr>
            </w:pPr>
            <w:r>
              <w:rPr>
                <w:rFonts w:ascii="Arial" w:cs="Arial" w:eastAsia="Arial" w:hAnsi="Arial"/>
                <w:sz w:val="18"/>
                <w:szCs w:val="18"/>
                <w:color w:val="auto"/>
              </w:rPr>
              <w:t>December 31, 2021, respectively (Note 11)</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3"/>
        </w:trPr>
        <w:tc>
          <w:tcPr>
            <w:tcW w:w="8260" w:type="dxa"/>
            <w:vAlign w:val="bottom"/>
          </w:tcPr>
          <w:p>
            <w:pPr>
              <w:ind w:left="30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1" w:name="page92"/>
    <w:bookmarkEnd w:id="91"/>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6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(benefit)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(297.7)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(297.7)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 income: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net unrealized (losses) gains on investments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Loss per common share: basic and diluted (both Class A and B)</w:t>
            </w:r>
            <w:r>
              <w:rPr>
                <w:rFonts w:ascii="Arial" w:cs="Arial" w:eastAsia="Arial" w:hAnsi="Arial"/>
                <w:sz w:val="23"/>
                <w:szCs w:val="23"/>
                <w:color w:val="auto"/>
                <w:vertAlign w:val="superscript"/>
              </w:rPr>
              <w:t>(1)</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960" w:type="dxa"/>
            <w:vAlign w:val="bottom"/>
          </w:tcPr>
          <w:p>
            <w:pPr>
              <w:jc w:val="right"/>
              <w:ind w:right="775"/>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w w:val="98"/>
              </w:rPr>
              <w:t>(21.11)</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(37.76)</w:t>
            </w:r>
          </w:p>
        </w:tc>
        <w:tc>
          <w:tcPr>
            <w:tcW w:w="100" w:type="dxa"/>
            <w:vAlign w:val="bottom"/>
          </w:tcPr>
          <w:p>
            <w:pPr>
              <w:spacing w:after="0"/>
              <w:rPr>
                <w:sz w:val="17"/>
                <w:szCs w:val="17"/>
                <w:color w:val="auto"/>
              </w:rPr>
            </w:pPr>
          </w:p>
        </w:tc>
        <w:tc>
          <w:tcPr>
            <w:tcW w:w="400" w:type="dxa"/>
            <w:vAlign w:val="bottom"/>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Weighted-average common shares outstanding: basic and diluted (both Class A and B)</w:t>
            </w:r>
          </w:p>
        </w:tc>
        <w:tc>
          <w:tcPr>
            <w:tcW w:w="9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9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ROOT, INC.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EQUITY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 2022, 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36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Redeemable</w:t>
            </w:r>
          </w:p>
        </w:tc>
        <w:tc>
          <w:tcPr>
            <w:tcW w:w="6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7"/>
            <w:vMerge w:val="restart"/>
          </w:tcPr>
          <w:p>
            <w:pPr>
              <w:jc w:val="center"/>
              <w:ind w:right="80"/>
              <w:spacing w:after="0"/>
              <w:rPr>
                <w:sz w:val="20"/>
                <w:szCs w:val="20"/>
                <w:color w:val="auto"/>
              </w:rPr>
            </w:pPr>
            <w:r>
              <w:rPr>
                <w:rFonts w:ascii="Arial" w:cs="Arial" w:eastAsia="Arial" w:hAnsi="Arial"/>
                <w:sz w:val="13"/>
                <w:szCs w:val="13"/>
                <w:b w:val="1"/>
                <w:bCs w:val="1"/>
                <w:color w:val="auto"/>
                <w:w w:val="86"/>
              </w:rPr>
              <w:t>Class A and Class B Common</w:t>
            </w: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320" w:type="dxa"/>
            <w:vAlign w:val="bottom"/>
            <w:tcBorders>
              <w:right w:val="single" w:sz="8" w:color="auto"/>
            </w:tcBorders>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Convertible</w:t>
            </w:r>
          </w:p>
        </w:tc>
        <w:tc>
          <w:tcPr>
            <w:tcW w:w="60" w:type="dxa"/>
            <w:vAlign w:val="bottom"/>
          </w:tcPr>
          <w:p>
            <w:pPr>
              <w:spacing w:after="0"/>
              <w:rPr>
                <w:sz w:val="10"/>
                <w:szCs w:val="10"/>
                <w:color w:val="auto"/>
              </w:rPr>
            </w:pPr>
          </w:p>
        </w:tc>
        <w:tc>
          <w:tcPr>
            <w:tcW w:w="1920" w:type="dxa"/>
            <w:vAlign w:val="bottom"/>
            <w:gridSpan w:val="7"/>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320" w:type="dxa"/>
            <w:vAlign w:val="bottom"/>
            <w:tcBorders>
              <w:right w:val="single" w:sz="8" w:color="auto"/>
            </w:tcBorders>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Stock</w:t>
            </w:r>
            <w:r>
              <w:rPr>
                <w:rFonts w:ascii="Arial" w:cs="Arial" w:eastAsia="Arial" w:hAnsi="Arial"/>
                <w:sz w:val="15"/>
                <w:szCs w:val="15"/>
                <w:b w:val="1"/>
                <w:bCs w:val="1"/>
                <w:color w:val="auto"/>
                <w:w w:val="88"/>
                <w:vertAlign w:val="superscript"/>
              </w:rPr>
              <w:t>(1)</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Treasury Stock</w:t>
            </w:r>
            <w:r>
              <w:rPr>
                <w:rFonts w:ascii="Arial" w:cs="Arial" w:eastAsia="Arial" w:hAnsi="Arial"/>
                <w:sz w:val="15"/>
                <w:szCs w:val="15"/>
                <w:b w:val="1"/>
                <w:bCs w:val="1"/>
                <w:color w:val="auto"/>
                <w:vertAlign w:val="superscript"/>
              </w:rPr>
              <w:t>(1)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tcPr>
          <w:p>
            <w:pPr>
              <w:ind w:left="40"/>
              <w:spacing w:after="0" w:line="48" w:lineRule="exact"/>
              <w:rPr>
                <w:sz w:val="20"/>
                <w:szCs w:val="20"/>
                <w:color w:val="auto"/>
              </w:rPr>
            </w:pPr>
            <w:r>
              <w:rPr>
                <w:rFonts w:ascii="Arial" w:cs="Arial" w:eastAsia="Arial" w:hAnsi="Arial"/>
                <w:sz w:val="5"/>
                <w:szCs w:val="5"/>
                <w:b w:val="1"/>
                <w:bCs w:val="1"/>
                <w:color w:val="auto"/>
              </w:rPr>
              <w:t>Additional</w:t>
            </w:r>
          </w:p>
        </w:tc>
        <w:tc>
          <w:tcPr>
            <w:tcW w:w="80" w:type="dxa"/>
            <w:vAlign w:val="bottom"/>
          </w:tcPr>
          <w:p>
            <w:pPr>
              <w:spacing w:after="0"/>
              <w:rPr>
                <w:sz w:val="4"/>
                <w:szCs w:val="4"/>
                <w:color w:val="auto"/>
              </w:rPr>
            </w:pPr>
          </w:p>
        </w:tc>
        <w:tc>
          <w:tcPr>
            <w:tcW w:w="920" w:type="dxa"/>
            <w:vAlign w:val="bottom"/>
            <w:gridSpan w:val="2"/>
          </w:tcPr>
          <w:p>
            <w:pPr>
              <w:jc w:val="center"/>
              <w:ind w:right="160"/>
              <w:spacing w:after="0" w:line="48" w:lineRule="exact"/>
              <w:rPr>
                <w:sz w:val="20"/>
                <w:szCs w:val="20"/>
                <w:color w:val="auto"/>
              </w:rPr>
            </w:pPr>
            <w:r>
              <w:rPr>
                <w:rFonts w:ascii="Arial" w:cs="Arial" w:eastAsia="Arial" w:hAnsi="Arial"/>
                <w:sz w:val="5"/>
                <w:szCs w:val="5"/>
                <w:b w:val="1"/>
                <w:bCs w:val="1"/>
                <w:color w:val="auto"/>
              </w:rPr>
              <w:t>Other</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tcPr>
          <w:p>
            <w:pPr>
              <w:ind w:left="40"/>
              <w:spacing w:after="0" w:line="48"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Class A</w:t>
            </w:r>
          </w:p>
        </w:tc>
        <w:tc>
          <w:tcPr>
            <w:tcW w:w="660" w:type="dxa"/>
            <w:vAlign w:val="bottom"/>
            <w:gridSpan w:val="2"/>
          </w:tcPr>
          <w:p>
            <w:pPr>
              <w:jc w:val="center"/>
              <w:ind w:right="60"/>
              <w:spacing w:after="0" w:line="129" w:lineRule="exact"/>
              <w:rPr>
                <w:sz w:val="20"/>
                <w:szCs w:val="20"/>
                <w:color w:val="auto"/>
              </w:rPr>
            </w:pPr>
            <w:r>
              <w:rPr>
                <w:rFonts w:ascii="Arial" w:cs="Arial" w:eastAsia="Arial" w:hAnsi="Arial"/>
                <w:sz w:val="13"/>
                <w:szCs w:val="13"/>
                <w:b w:val="1"/>
                <w:bCs w:val="1"/>
                <w:color w:val="auto"/>
                <w:w w:val="83"/>
              </w:rPr>
              <w:t>Class B</w:t>
            </w:r>
          </w:p>
        </w:tc>
        <w:tc>
          <w:tcPr>
            <w:tcW w:w="6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29" w:lineRule="exact"/>
              <w:rPr>
                <w:sz w:val="20"/>
                <w:szCs w:val="20"/>
                <w:color w:val="auto"/>
              </w:rPr>
            </w:pPr>
            <w:r>
              <w:rPr>
                <w:rFonts w:ascii="Arial" w:cs="Arial" w:eastAsia="Arial" w:hAnsi="Arial"/>
                <w:sz w:val="13"/>
                <w:szCs w:val="13"/>
                <w:b w:val="1"/>
                <w:bCs w:val="1"/>
                <w:color w:val="auto"/>
                <w:w w:val="96"/>
              </w:rPr>
              <w:t>Comprehensive</w:t>
            </w: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68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62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Loss</w:t>
            </w:r>
          </w:p>
        </w:tc>
        <w:tc>
          <w:tcPr>
            <w:tcW w:w="140" w:type="dxa"/>
            <w:vAlign w:val="bottom"/>
          </w:tcPr>
          <w:p>
            <w:pPr>
              <w:spacing w:after="0"/>
              <w:rPr>
                <w:sz w:val="14"/>
                <w:szCs w:val="14"/>
                <w:color w:val="auto"/>
              </w:rPr>
            </w:pPr>
          </w:p>
        </w:tc>
        <w:tc>
          <w:tcPr>
            <w:tcW w:w="680" w:type="dxa"/>
            <w:vAlign w:val="bottom"/>
          </w:tcPr>
          <w:p>
            <w:pPr>
              <w:jc w:val="center"/>
              <w:ind w:right="9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Balance—January 1, 2020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(374.0)</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(363.0)</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Tender offer and subsequent conversion (Note 12)</w:t>
            </w:r>
          </w:p>
        </w:tc>
        <w:tc>
          <w:tcPr>
            <w:tcW w:w="56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Conversion of redeemable convertible preferred stock to common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from IPO</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(560.4)</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560.4</w:t>
            </w:r>
          </w:p>
        </w:tc>
        <w:tc>
          <w:tcPr>
            <w:tcW w:w="0" w:type="dxa"/>
            <w:vAlign w:val="bottom"/>
          </w:tcPr>
          <w:p>
            <w:pPr>
              <w:spacing w:after="0"/>
              <w:rPr>
                <w:sz w:val="1"/>
                <w:szCs w:val="1"/>
                <w:color w:val="auto"/>
              </w:rPr>
            </w:pPr>
          </w:p>
        </w:tc>
      </w:tr>
      <w:tr>
        <w:trPr>
          <w:trHeight w:val="122"/>
        </w:trPr>
        <w:tc>
          <w:tcPr>
            <w:tcW w:w="3360" w:type="dxa"/>
            <w:vAlign w:val="bottom"/>
          </w:tcPr>
          <w:p>
            <w:pPr>
              <w:ind w:left="20"/>
              <w:spacing w:after="0" w:line="122" w:lineRule="exact"/>
              <w:rPr>
                <w:sz w:val="20"/>
                <w:szCs w:val="20"/>
                <w:color w:val="auto"/>
              </w:rPr>
            </w:pPr>
            <w:r>
              <w:rPr>
                <w:rFonts w:ascii="Arial" w:cs="Arial" w:eastAsia="Arial" w:hAnsi="Arial"/>
                <w:sz w:val="13"/>
                <w:szCs w:val="13"/>
                <w:color w:val="auto"/>
                <w:w w:val="93"/>
              </w:rPr>
              <w:t>Common stock—issuance of shares from IPO and concurrent</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180"/>
              <w:spacing w:after="0"/>
              <w:rPr>
                <w:sz w:val="20"/>
                <w:szCs w:val="20"/>
                <w:color w:val="auto"/>
              </w:rPr>
            </w:pPr>
            <w:r>
              <w:rPr>
                <w:rFonts w:ascii="Arial" w:cs="Arial" w:eastAsia="Arial" w:hAnsi="Arial"/>
                <w:sz w:val="13"/>
                <w:szCs w:val="13"/>
                <w:color w:val="auto"/>
              </w:rPr>
              <w:t>private placement, net of issuance costs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1,098.1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1,098.1</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to Class A common stock</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Warrants exercise</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75.2</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stock—option exercises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w w:val="98"/>
              </w:rPr>
              <w:t>Reclassification of early-exercised stock option to liabilities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stock—share-based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3"/>
                <w:szCs w:val="13"/>
                <w:color w:val="auto"/>
              </w:rPr>
              <w:t>Settlement of related party loan</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0"/>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Balance—December 31, 2020</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w w:val="98"/>
              </w:rPr>
              <w:t>Cumulative-effect of change in accounting principle (ASU 2016-</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3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360" w:type="dxa"/>
            <w:vAlign w:val="bottom"/>
          </w:tcPr>
          <w:p>
            <w:pPr>
              <w:ind w:left="180"/>
              <w:spacing w:after="0"/>
              <w:rPr>
                <w:sz w:val="20"/>
                <w:szCs w:val="20"/>
                <w:color w:val="auto"/>
              </w:rPr>
            </w:pPr>
            <w:r>
              <w:rPr>
                <w:rFonts w:ascii="Arial" w:cs="Arial" w:eastAsia="Arial" w:hAnsi="Arial"/>
                <w:sz w:val="13"/>
                <w:szCs w:val="13"/>
                <w:color w:val="auto"/>
              </w:rPr>
              <w:t>13), net of tax</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08"/>
        </w:trPr>
        <w:tc>
          <w:tcPr>
            <w:tcW w:w="33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w w:val="95"/>
              </w:rPr>
              <w:t>Balance at January 1, 2021 (as adjusted for change in accounting</w:t>
            </w: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principle)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1,031.4</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Net loss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(521.1)</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Conversion of Class B to Class A common stock</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3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Common stock—option exercises and restricted stock units</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vesting, net of shares withheld for employee taxes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w w:val="98"/>
              </w:rPr>
              <w:t>Reclassification of early-exercised stock option to liabilities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stock—share-based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Warrant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Preferred stock issued</w:t>
            </w:r>
          </w:p>
        </w:tc>
        <w:tc>
          <w:tcPr>
            <w:tcW w:w="560" w:type="dxa"/>
            <w:vAlign w:val="bottom"/>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and related warrants issuance costs</w:t>
            </w:r>
          </w:p>
        </w:tc>
        <w:tc>
          <w:tcPr>
            <w:tcW w:w="6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auto"/>
              <w:right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3"/>
                <w:szCs w:val="13"/>
                <w:color w:val="auto"/>
              </w:rPr>
              <w:t>Balance—December 31, 2021</w:t>
            </w:r>
          </w:p>
        </w:tc>
        <w:tc>
          <w:tcPr>
            <w:tcW w:w="560" w:type="dxa"/>
            <w:vAlign w:val="bottom"/>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5"/>
                <w:szCs w:val="15"/>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1,806.1</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(1,270.1)</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536.4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to Class A common stock</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60" w:type="dxa"/>
            <w:vAlign w:val="bottom"/>
          </w:tcPr>
          <w:p>
            <w:pPr>
              <w:ind w:left="20"/>
              <w:spacing w:after="0" w:line="122" w:lineRule="exact"/>
              <w:rPr>
                <w:sz w:val="20"/>
                <w:szCs w:val="20"/>
                <w:color w:val="auto"/>
              </w:rPr>
            </w:pPr>
            <w:r>
              <w:rPr>
                <w:rFonts w:ascii="Arial" w:cs="Arial" w:eastAsia="Arial" w:hAnsi="Arial"/>
                <w:sz w:val="13"/>
                <w:szCs w:val="13"/>
                <w:color w:val="auto"/>
                <w:w w:val="97"/>
              </w:rPr>
              <w:t>Common stock—option exercises and restricted stock units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180"/>
              <w:spacing w:after="0"/>
              <w:rPr>
                <w:sz w:val="20"/>
                <w:szCs w:val="20"/>
                <w:color w:val="auto"/>
              </w:rPr>
            </w:pPr>
            <w:r>
              <w:rPr>
                <w:rFonts w:ascii="Arial" w:cs="Arial" w:eastAsia="Arial" w:hAnsi="Arial"/>
                <w:sz w:val="13"/>
                <w:szCs w:val="13"/>
                <w:color w:val="auto"/>
              </w:rPr>
              <w:t>vesting, net of shares withheld for employee taxes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Reclassification of early-exercised stock option to liabilities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Common stock—share-based compensation expense</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rPr>
                <w:sz w:val="20"/>
                <w:szCs w:val="20"/>
                <w:color w:val="auto"/>
              </w:rPr>
            </w:pPr>
            <w:r>
              <w:rPr>
                <w:rFonts w:ascii="Arial" w:cs="Arial" w:eastAsia="Arial" w:hAnsi="Arial"/>
                <w:sz w:val="13"/>
                <w:szCs w:val="13"/>
                <w:color w:val="auto"/>
              </w:rPr>
              <w:t>Warrants issuance costs</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warrants issued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3"/>
                <w:szCs w:val="13"/>
                <w:color w:val="auto"/>
              </w:rPr>
              <w:t>Balance—December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1,850.7</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(1,567.8)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277.1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(297.7)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(521.1)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Warrant compensation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Tender offer</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Bad debt expense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early extinguishment of debt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Warrants fair value adjustment</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Paid-in-kind interest expense</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Paid-in-kind interest paid</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realized gains on investments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Gain on lease modification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equity securities</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Premiums receivable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Reinsurance recoverable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reinsurance premiums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 reserves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Unearned premiums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premiums payable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(210.6)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 and pay downs of investments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Sales of investments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assets</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560" w:type="dxa"/>
            <w:vAlign w:val="bottom"/>
          </w:tcPr>
          <w:p>
            <w:pPr>
              <w:ind w:left="140"/>
              <w:spacing w:after="0" w:line="166" w:lineRule="exact"/>
              <w:rPr>
                <w:sz w:val="20"/>
                <w:szCs w:val="20"/>
                <w:color w:val="auto"/>
              </w:rPr>
            </w:pPr>
            <w:r>
              <w:rPr>
                <w:rFonts w:ascii="Arial" w:cs="Arial" w:eastAsia="Arial" w:hAnsi="Arial"/>
                <w:sz w:val="16"/>
                <w:szCs w:val="16"/>
                <w:color w:val="auto"/>
              </w:rPr>
              <w:t>Proceeds from exercise of stock options and restricted stock units, net of tax</w:t>
            </w:r>
          </w:p>
        </w:tc>
        <w:tc>
          <w:tcPr>
            <w:tcW w:w="9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6560" w:type="dxa"/>
            <w:vAlign w:val="bottom"/>
          </w:tcPr>
          <w:p>
            <w:pPr>
              <w:ind w:left="300"/>
              <w:spacing w:after="0"/>
              <w:rPr>
                <w:sz w:val="20"/>
                <w:szCs w:val="20"/>
                <w:color w:val="auto"/>
              </w:rPr>
            </w:pPr>
            <w:r>
              <w:rPr>
                <w:rFonts w:ascii="Arial" w:cs="Arial" w:eastAsia="Arial" w:hAnsi="Arial"/>
                <w:sz w:val="16"/>
                <w:szCs w:val="16"/>
                <w:color w:val="auto"/>
              </w:rPr>
              <w:t>proceeds/(withholding)</w:t>
            </w:r>
          </w:p>
        </w:tc>
        <w:tc>
          <w:tcPr>
            <w:tcW w:w="9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5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6"/>
              </w:rPr>
              <w:t>Proceeds from issuance of common stock from IPO and concurrent private placements, net of</w:t>
            </w:r>
          </w:p>
        </w:tc>
        <w:tc>
          <w:tcPr>
            <w:tcW w:w="9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issuance costs</w:t>
            </w:r>
          </w:p>
        </w:tc>
        <w:tc>
          <w:tcPr>
            <w:tcW w:w="9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 and related warrants</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preferred stock and related warrants issuance costs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Proceeds from issuance of debt and related warrants, net of issuance costs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6"/>
                <w:szCs w:val="16"/>
                <w:color w:val="auto"/>
              </w:rPr>
              <w:t>Purchases of treasury stock</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1,098.5</w:t>
            </w:r>
          </w:p>
        </w:tc>
        <w:tc>
          <w:tcPr>
            <w:tcW w:w="0" w:type="dxa"/>
            <w:vAlign w:val="bottom"/>
          </w:tcPr>
          <w:p>
            <w:pPr>
              <w:spacing w:after="0"/>
              <w:rPr>
                <w:sz w:val="1"/>
                <w:szCs w:val="1"/>
                <w:color w:val="auto"/>
              </w:rPr>
            </w:pPr>
          </w:p>
        </w:tc>
      </w:tr>
      <w:tr>
        <w:trPr>
          <w:trHeight w:val="206"/>
        </w:trPr>
        <w:tc>
          <w:tcPr>
            <w:tcW w:w="65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94" w:name="page95"/>
    <w:bookmarkEnd w:id="94"/>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Root, Inc. is a holding company which, directly or indirectly, maintains 100% ownership of each of its subsidiaries, including, among others, Root Insurance Company, an Ohio-domiciled insurance company; Root Property &amp; Casualty Insurance Company, a Delaware-domiciled insurance company; and Root Reinsurance Company, Ltd., a Cayman Islands-domiciled reinsurance company, together with Root, Inc., “we,” “us” or “our.” We were formed in 2015 and began writing personal auto insurance in July 2016.</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 technology company operating a primarily direct-to-consumer model with the majority of our personal insurance customers acquired through mobile applications and our embedded platform. We offer auto and renters insurance products underwritten by Root Insurance Company and Root Property &amp; Casualty Insurance Company.</w:t>
      </w:r>
    </w:p>
    <w:p>
      <w:pPr>
        <w:spacing w:after="0" w:line="126"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Basis of Presentation and Consolidation</w:t>
      </w:r>
      <w:r>
        <w:rPr>
          <w:rFonts w:ascii="Arial" w:cs="Arial" w:eastAsia="Arial" w:hAnsi="Arial"/>
          <w:sz w:val="18"/>
          <w:szCs w:val="18"/>
          <w:color w:val="auto"/>
        </w:rPr>
        <w:t>—The consolidated financial statements include the accounts of Root, Inc. and its subsidiaries, all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These financial statements have been prepared in accordance with accounting principles generally accepted in the United States, or GAAP. All intercompany accounts and transactions have been eliminated.</w:t>
      </w:r>
    </w:p>
    <w:p>
      <w:pPr>
        <w:spacing w:after="0" w:line="12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requires management to make certain estimates and assumptions that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reflected in our consolidated financial statements include, but are not limited to, reserves for loss and loss adjustment expense, or LAE, premium write-offs, fair value of warrants and valuation allowance for income taxes.</w:t>
      </w:r>
    </w:p>
    <w:p>
      <w:pPr>
        <w:spacing w:after="0" w:line="12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Revision of Previously Issued Financial Statements</w:t>
      </w:r>
      <w:r>
        <w:rPr>
          <w:rFonts w:ascii="Arial" w:cs="Arial" w:eastAsia="Arial" w:hAnsi="Arial"/>
          <w:sz w:val="17"/>
          <w:szCs w:val="17"/>
          <w:color w:val="auto"/>
        </w:rPr>
        <w:t>—During the fourth quarter of 2022, we identified immaterial errors in our first, second and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filings of 2022 in the recognition of prepaid marketing expense in other assets on our condensed consolidated balance sheets and the presentation of certain sales and marketing and general and administrative expenses on our condensed consolidated statements of operations and comprehensive loss related to the purported misappropriation of funds by a senior marketing employee. We recognized $10.2 million in general and administrative expenses related to the write-off of prepaid marketing expense and reclassifications of certain sales and marketing expenses during the year-ended December 31, 2022. The errors did not impact periods prior to 2022.</w:t>
      </w:r>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accordance with SEC Staff Accounting Bulletin, or SAB,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and SAB No. 108, </w:t>
      </w:r>
      <w:r>
        <w:rPr>
          <w:rFonts w:ascii="Arial" w:cs="Arial" w:eastAsia="Arial" w:hAnsi="Arial"/>
          <w:sz w:val="18"/>
          <w:szCs w:val="18"/>
          <w:i w:val="1"/>
          <w:iCs w:val="1"/>
          <w:color w:val="auto"/>
        </w:rPr>
        <w:t>Considering the Effects of Prior Year Misstatements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when Quantifying Misstatements in Current Year Financial Statements</w:t>
      </w:r>
      <w:r>
        <w:rPr>
          <w:rFonts w:ascii="Arial" w:cs="Arial" w:eastAsia="Arial" w:hAnsi="Arial"/>
          <w:sz w:val="18"/>
          <w:szCs w:val="18"/>
          <w:color w:val="auto"/>
        </w:rPr>
        <w:t>, we assessed the materiality of these errors on our financial statements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 and concluded the errors were not material to the unaudited interim financial statements for the periods ended March 31, 2022, June 30, 2022 and September 30, 2022.</w:t>
      </w:r>
    </w:p>
    <w:p>
      <w:pPr>
        <w:spacing w:after="0" w:line="12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Reverse Stock Split</w:t>
      </w:r>
      <w:r>
        <w:rPr>
          <w:rFonts w:ascii="Arial" w:cs="Arial" w:eastAsia="Arial" w:hAnsi="Arial"/>
          <w:sz w:val="16"/>
          <w:szCs w:val="16"/>
          <w:color w:val="auto"/>
        </w:rPr>
        <w:t>— In August 2022, an authorized subcommittee of our board of directors approved a reverse stock split of our Class A and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Stock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5" w:name="page96"/>
    <w:bookmarkEnd w:id="95"/>
    <w:p>
      <w:pPr>
        <w:spacing w:after="0" w:line="14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connection with the reverse stock split, there was no change to the shares authorized or in the par value per share of $0.0001. In addition, there was no change to the number of shares issued or outstanding for our Series A Preferred Stock. The conversion price for our Series A Preferred Stock was adjusted to $162.00 and the exercise price and number of warrant shares for each of our outstanding warrants were also proportionately adjusted. Accordingly, all historical per share data, number of shares outstanding and other common stock equivalents for the periods presented in the accompanying consolidated financial statements and notes thereto have been adjusted retroactively, where applicable, to reflect the reverse stock split.</w:t>
      </w:r>
    </w:p>
    <w:p>
      <w:pPr>
        <w:spacing w:after="0" w:line="103" w:lineRule="exact"/>
        <w:rPr>
          <w:sz w:val="20"/>
          <w:szCs w:val="20"/>
          <w:color w:val="auto"/>
        </w:rPr>
      </w:pPr>
    </w:p>
    <w:p>
      <w:pPr>
        <w:jc w:val="both"/>
        <w:ind w:right="180"/>
        <w:spacing w:after="0" w:line="289" w:lineRule="auto"/>
        <w:rPr>
          <w:sz w:val="20"/>
          <w:szCs w:val="20"/>
          <w:color w:val="auto"/>
        </w:rPr>
      </w:pPr>
      <w:r>
        <w:rPr>
          <w:rFonts w:ascii="Arial" w:cs="Arial" w:eastAsia="Arial" w:hAnsi="Arial"/>
          <w:sz w:val="16"/>
          <w:szCs w:val="16"/>
          <w:b w:val="1"/>
          <w:bCs w:val="1"/>
          <w:color w:val="auto"/>
        </w:rPr>
        <w:t>COVID-19</w:t>
      </w:r>
      <w:r>
        <w:rPr>
          <w:rFonts w:ascii="Arial" w:cs="Arial" w:eastAsia="Arial" w:hAnsi="Arial"/>
          <w:sz w:val="16"/>
          <w:szCs w:val="16"/>
          <w:color w:val="auto"/>
        </w:rPr>
        <w:t>—In March 2020, the World Health Organization declared COVID-19 to be a global pandemic. The COVID-19 pandemic and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responses thereto have impacted and may further impact the broader economic environment, including creating or exacerbating supply chain disruptions and inflation and negatively impacting unemployment levels, economic growth, the proper functioning of financial and capital markets and interest rates.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 result of certain factors related to the COVID-19 global pandemic, we continue to file in multiple states to establish rates that more closely follow the evolving loss cost trends. As the COVID-19 pandemic continues, there is uncertainty around the severity and duration of the pandemic and the pandemic’s potential impact on our business and our financial performance. Accordingly, we cannot predict the impact that it may have on our future results of operations and financial condition.</w:t>
      </w:r>
    </w:p>
    <w:p>
      <w:pPr>
        <w:spacing w:after="0" w:line="13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Legal Contingencies—</w:t>
      </w:r>
      <w:r>
        <w:rPr>
          <w:rFonts w:ascii="Arial" w:cs="Arial" w:eastAsia="Arial" w:hAnsi="Arial"/>
          <w:sz w:val="17"/>
          <w:szCs w:val="17"/>
          <w:color w:val="auto"/>
        </w:rPr>
        <w:t>From time to time, we are party to litigation and legal proceedings relating to our business operations. We consider legal actions</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claims made in the ordinary course of seeking indemnification for a loss covered by the insurance policy in establishing loss and LAE reserves. In the ordinary course of business we also face certain lawsuits that seek damages beyond policy limits, or extra-contractual claims.</w:t>
      </w:r>
    </w:p>
    <w:p>
      <w:pPr>
        <w:spacing w:after="0" w:line="1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We continually evaluate potential liabilities and reserves for litigation using the guidance issued in Financial Accounting Standards Board, or FASB, Accounting Standards Codification, or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Under this guidance, we may only record reserves for a loss if as of the date the financial statements are issued or available to be issued, the likelihood of occurrence is deemed probable and we can reasonably estimate the amount of the loss. When disclosing litigation or claims where a material loss is judged to be reasonably possible, we will disclose an estimated range of loss or state that an estimate cannot be made. We consider each legal action using this guidance and record reserves for losses as warranted by establishing a reserve in loss and loss adjustment expense reserves for extra-contractual claims and other liabilities for class action and other non-claims related lawsuits in our consolidated balance sheets. Any non-reinsurance related recoveries are recognized as other assets in our consolidated balance sheets. We record amounts within loss and loss adjustment expenses for extra-contractual claims and general and administrative for class action and other non-claims related lawsuits in our consolidated statements of operations and comprehensive loss. Further details are discussed in Note 13, "Commitments and Contingencies."</w:t>
      </w:r>
    </w:p>
    <w:p>
      <w:pPr>
        <w:spacing w:after="0" w:line="108"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Debt and Equity Issuance Costs</w:t>
      </w:r>
      <w:r>
        <w:rPr>
          <w:rFonts w:ascii="Arial" w:cs="Arial" w:eastAsia="Arial" w:hAnsi="Arial"/>
          <w:sz w:val="17"/>
          <w:szCs w:val="17"/>
          <w:color w:val="auto"/>
        </w:rPr>
        <w:t>—Debt and equity issuance costs, which primarily consist of advisor, legal, accounting, and other third-party fees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issuing debt and equity instruments, are capitalized as other assets in our consolidated balance sheets as incurred. We incurred such costs in connection with our investment agreement we entered into with Carvana Group, LLC, or Carvana, on August 21, 2021, or the Investment Agreement, and our $300.0 million five-year term loan maturing we entered on January 26, 2022, or the Term Loan. Upon close of the related transaction, these deferred issuance costs are generally offset against the related proceeds. Debt issuance costs are subsequently amortized over the term of the financing agreement as interest expense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Indefinite-Lived Intangible Assets</w:t>
      </w:r>
      <w:r>
        <w:rPr>
          <w:rFonts w:ascii="Arial" w:cs="Arial" w:eastAsia="Arial" w:hAnsi="Arial"/>
          <w:sz w:val="17"/>
          <w:szCs w:val="17"/>
          <w:color w:val="auto"/>
        </w:rPr>
        <w:t>— In March 2022, we purchased the Root.com domain and recognized $1.3 million, including transaction costs,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2022 in other assets in our consolidated balance sheets. We also had insurance licenses of $8.9 million, including transaction costs, as of December 31, 2022 and 2021 in other assets in our consolidated balance sheets. We incur a minimal fee to renew each license. These intangible assets are not amortized, but instead are tested for impairment annually or when indicators of impairment exist. The impairment test for indefinite-lived intangibles involves first assessing qualitative factors to determine if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The evaluation requires the use of estimates and significant judgments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No impairment was recognized for 2022, 2021, or 2020 related to indefinite-lived intangible assets.</w:t>
      </w:r>
    </w:p>
    <w:p>
      <w:pPr>
        <w:spacing w:after="0" w:line="12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—Our chief operating decision maker is the Chief Executive Officer. The chief operating decision maker manages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allocates resources, and evaluates financial performance on a company-wide basis. We operate in one reporting segment providing direct-to-consumer insurance products to customers.</w:t>
      </w:r>
    </w:p>
    <w:p>
      <w:pPr>
        <w:spacing w:after="0" w:line="12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Statement of Cash Flows</w:t>
      </w:r>
      <w:r>
        <w:rPr>
          <w:rFonts w:ascii="Arial" w:cs="Arial" w:eastAsia="Arial" w:hAnsi="Arial"/>
          <w:sz w:val="18"/>
          <w:szCs w:val="18"/>
          <w:color w:val="auto"/>
        </w:rPr>
        <w:t>—The supplemental disclosures for cash and non-cash flows for the years ended December 31, 2022, 2021 and 2020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6"/>
        </w:trPr>
        <w:tc>
          <w:tcPr>
            <w:tcW w:w="6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 paid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preferred stock to common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Conversion of warrants to common stock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Investment Agreement issuance costs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treasury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38"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b w:val="1"/>
          <w:bCs w:val="1"/>
          <w:color w:val="auto"/>
        </w:rPr>
        <w:t>Cash, Cash Equivalents and Restricted Cash</w:t>
      </w:r>
      <w:r>
        <w:rPr>
          <w:rFonts w:ascii="Arial" w:cs="Arial" w:eastAsia="Arial" w:hAnsi="Arial"/>
          <w:sz w:val="17"/>
          <w:szCs w:val="17"/>
          <w:color w:val="auto"/>
        </w:rPr>
        <w:t>—Cash consists of cash on deposit. Cash equivalents are short-term, highly liquid investments that on</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matures within three months from the date of origination and are principally stated at amortized cost, which approximates their fair value. Restricted cash consists of amounts held by a financial institution to satisfy letter of credit requirements for certain property leases.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 in the 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5"/>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Total cash, cash equivalents and restricted cash shown in the consolidated statements of cash flows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Book Overdraft</w:t>
      </w:r>
      <w:r>
        <w:rPr>
          <w:rFonts w:ascii="Arial" w:cs="Arial" w:eastAsia="Arial" w:hAnsi="Arial"/>
          <w:sz w:val="18"/>
          <w:szCs w:val="18"/>
          <w:color w:val="auto"/>
        </w:rPr>
        <w:t>—If checks are issued in excess of the amount of cash on hand, a book overdraft shall be reclassified to accounts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When a check is issued whereby a disbursement account is used to write the check, but the account is not funded until the check is presented for payment this "negative cash" balance is included in cash and cash equivalents on the consolidated balance sheets, if the funding account has sufficient funds.</w:t>
      </w:r>
    </w:p>
    <w:p>
      <w:pPr>
        <w:spacing w:after="0" w:line="12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—Investments in debt securities are classified as short-term and available-for-sale securities and are carried at fair value with any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and losses, net of taxes, recorded as a component of accumulated other comprehensive income.</w:t>
      </w:r>
    </w:p>
    <w:p>
      <w:pPr>
        <w:spacing w:after="0" w:line="11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Management regularly reviews our securities for signs of impairment, an assessment requiring significant management judgment. Beginning with our adoption of FASB Accounting Standard Update No. 2016-13, </w:t>
      </w:r>
      <w:r>
        <w:rPr>
          <w:rFonts w:ascii="Arial" w:cs="Arial" w:eastAsia="Arial" w:hAnsi="Arial"/>
          <w:sz w:val="16"/>
          <w:szCs w:val="16"/>
          <w:i w:val="1"/>
          <w:iCs w:val="1"/>
          <w:color w:val="auto"/>
        </w:rPr>
        <w:t>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as of January 1, 2021, the criteria that management considers are the financial condition of the issuer, including receipt of scheduled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and interest cash flows, fair value of a security that has fallen below the amortized value, maturity dates, current economic conditions and intent to sell, including if it is more likely than not that we will be required to sell the security before recovery. We then assess whether the decline in value is due to non-credit related or credit related factors. Non-credit related declines in market value are recorded as unrealized losses in accumulated other comprehensive income. If we determine that the decline is credit related, we establish an allowance for credit losses equal to the difference between the discounted cash flow model and the amortized value, which is recorded in net realized gains on investments in our consolidated statements of operations and comprehensive loss. This allowance may be subsequently adjusted for recoveries or further credit losses.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January 1, 2021, we were under an incurred loss model whereby we reviewed our securities for signs of other than temporary impairment. The criteria were similar to those noted above, except we also considered the length of time a security was in an unrealized loss position. When a debt security was determined to have an other than temporary impairment, the impairment charge was separated into an amount representing the credit loss, which would be recognized in earnings as a realized loss and the amount related to non-credit factors, which would be recognized in other comprehensive income. Subsequent recoveries of other than temporary impairment were not recognized. No such credit losses were recognized in 2022 and 2021, nor were there other than temporary impairments recognized in 2020.</w:t>
      </w:r>
    </w:p>
    <w:p>
      <w:pPr>
        <w:spacing w:after="0" w:line="1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Other investments primarily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Such changes are accounted for within net investment income in our consolidated statements of operations and comprehensive loss.</w:t>
      </w:r>
    </w:p>
    <w:p>
      <w:pPr>
        <w:spacing w:after="0" w:line="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also invest in Low Income Housing Tax Credits, or LIHTC, projects by way of investing in a limited liability entity to offset Georgia premium taxes. The purpose of these investments is to encourage private capital investments into regions within Georgia that are in need of economic development, while providing tax credits and operating loss tax benefits to investors. We account for this investment using the cost method because our interest in the limited liability entity is minor and we have virtually no influence over the entity’s operating and financial policies. When we utilize the tax credits, the associated investment becomes impaired. Impairment of the investment is recognized within net investment income in our consolidated statements of operations and comprehensive loss.</w:t>
      </w:r>
    </w:p>
    <w:p>
      <w:pPr>
        <w:spacing w:after="0" w:line="134"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b w:val="1"/>
          <w:bCs w:val="1"/>
          <w:color w:val="auto"/>
        </w:rPr>
        <w:t>Fair Value Measurements</w:t>
      </w:r>
      <w:r>
        <w:rPr>
          <w:rFonts w:ascii="Arial" w:cs="Arial" w:eastAsia="Arial" w:hAnsi="Arial"/>
          <w:sz w:val="18"/>
          <w:szCs w:val="18"/>
          <w:color w:val="auto"/>
        </w:rPr>
        <w:t>—Fair value is defined as the price that would be received upon selling an asset or the price paid to transfer a liability on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date in the principal or most advantageous market for the asset or liability in an orderly transaction between willing market participants. A three-tier hierarchy is established as a basis for considering such assumptions and for inputs used in the valuation methodologies in measuring fair value. This hierarchy requires entities to maximize the use of observable inputs and minimize the use of unobservable inputs. The three levels of inputs used to measure fair values are:</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Level 1 - Financial assets and liabilities for which inputs are observable and are obtained from reliable quoted prices in active markets for identical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Level 2 - Financial assets and liabilities for which values are based on quoted prices in markets that are not active or for which values are based on similar assets and liabilities that are actively traded. This also includes pricing models for which the inputs are corroborated by market data.</w:t>
      </w:r>
    </w:p>
    <w:p>
      <w:pPr>
        <w:spacing w:after="0" w:line="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Level 3 - Financial assets and liabilities for which values are based on prices or valuation techniques that require inputs that are both unobservable and significant to the overall fair value measurement.</w:t>
      </w:r>
    </w:p>
    <w:p>
      <w:pPr>
        <w:spacing w:after="0" w:line="11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—On January 1, 2021, we adopted ASU No. 2016-02,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b w:val="1"/>
          <w:bCs w:val="1"/>
          <w:color w:val="auto"/>
        </w:rPr>
        <w:t xml:space="preserve"> </w:t>
      </w:r>
      <w:r>
        <w:rPr>
          <w:rFonts w:ascii="Arial" w:cs="Arial" w:eastAsia="Arial" w:hAnsi="Arial"/>
          <w:sz w:val="17"/>
          <w:szCs w:val="17"/>
          <w:color w:val="auto"/>
        </w:rPr>
        <w:t>which requires the recognition of right-of-use lease assets and lease</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by lessees for those leases classified as operating leases under previous GAAP. We elected various practical expedients which include: not applying the amended lease accounting guidance to comparative periods; including the carry forward of our leases without reassessing whether any contracts are leases or contain leases, lease classification and initial direct costs; and excluding leases with a term of 12 months or less from lease liability and right-of-use asset recognition. We did not elect the hindsight practical expedient.</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lease agreements contain lease components and non-lease components, both of which we have elected to account for as a single lease component for our real estate asset class.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 For additional information refer to Note 8, “Leases.”</w:t>
      </w:r>
    </w:p>
    <w:p>
      <w:pPr>
        <w:spacing w:after="0" w:line="12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Premiums, Premiums Receivable and Premium Write-offs</w:t>
      </w:r>
      <w:r>
        <w:rPr>
          <w:rFonts w:ascii="Arial" w:cs="Arial" w:eastAsia="Arial" w:hAnsi="Arial"/>
          <w:sz w:val="16"/>
          <w:szCs w:val="16"/>
          <w:color w:val="auto"/>
        </w:rPr>
        <w:t>—Premiums written are deferred and earned pro rata over the policy period. Unearned</w:t>
      </w:r>
      <w:r>
        <w:rPr>
          <w:rFonts w:ascii="Arial" w:cs="Arial" w:eastAsia="Arial" w:hAnsi="Arial"/>
          <w:sz w:val="16"/>
          <w:szCs w:val="16"/>
          <w:b w:val="1"/>
          <w:bCs w:val="1"/>
          <w:color w:val="auto"/>
        </w:rPr>
        <w:t xml:space="preserve"> </w:t>
      </w:r>
      <w:r>
        <w:rPr>
          <w:rFonts w:ascii="Arial" w:cs="Arial" w:eastAsia="Arial" w:hAnsi="Arial"/>
          <w:sz w:val="16"/>
          <w:szCs w:val="16"/>
          <w:color w:val="auto"/>
        </w:rPr>
        <w:t>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acquisition costs and, if necessary, by accruing an additional liability for the deficiency, with a corresponding charge to operations. We did not record a premium deficiency reserve in 2022, 2021 or 2020.</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August 2021, we commenced a fronting arrangement with an unaffiliated Texas county mutual insurance company, or the fronting carrier. We route all of our new auto policies, and, over time, expect to route certain renewal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doubtful accounts based primarily on an analysis of historical collection experience, adjusted for current economic conditions. Allowance for credit losses was $2.8 million and $5.4 million as of December 31, 2022 and 2021, respectively, on the consolidated balance sheets. A policy is considered past due on the first day after its due date and policies greater than 90 days past due are written-off. We recognized bad debt expense of $17.4 million, $20.9 million and $23.6 million for the years ended December 31, 2022, 2021 and 2020, respectively.</w:t>
      </w:r>
    </w:p>
    <w:p>
      <w:pPr>
        <w:spacing w:after="0" w:line="12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—Fee income consists of the flat fee we charge to those policyholders who pay premiums on an installment basis. The fee relates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administrative costs associated with processing more frequent billings. We recognize this fee income in the period in which we process each installment.</w:t>
      </w:r>
    </w:p>
    <w:p>
      <w:pPr>
        <w:spacing w:after="0" w:line="12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Other Income</w:t>
      </w:r>
      <w:r>
        <w:rPr>
          <w:rFonts w:ascii="Arial" w:cs="Arial" w:eastAsia="Arial" w:hAnsi="Arial"/>
          <w:sz w:val="17"/>
          <w:szCs w:val="17"/>
          <w:color w:val="auto"/>
        </w:rPr>
        <w:t>—Other income primarily comprises revenue earned from distributing website and app policy inquiry leads in geographies where we do not</w:t>
      </w:r>
      <w:r>
        <w:rPr>
          <w:rFonts w:ascii="Arial" w:cs="Arial" w:eastAsia="Arial" w:hAnsi="Arial"/>
          <w:sz w:val="17"/>
          <w:szCs w:val="17"/>
          <w:b w:val="1"/>
          <w:bCs w:val="1"/>
          <w:color w:val="auto"/>
        </w:rPr>
        <w:t xml:space="preserve"> </w:t>
      </w:r>
      <w:r>
        <w:rPr>
          <w:rFonts w:ascii="Arial" w:cs="Arial" w:eastAsia="Arial" w:hAnsi="Arial"/>
          <w:sz w:val="17"/>
          <w:szCs w:val="17"/>
          <w:color w:val="auto"/>
        </w:rPr>
        <w:t>have a presence, recognized when we generate the lead; commissions earned for homeowners policies placed with third-party insurance companies where we have no exposure to the insured risk, recognized on the effective date of the associated policy; and sale of enterprise technology products to provide telematics-based data collection and trip tracking, recognized ratably as the service is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Sales and Marketing</w:t>
      </w:r>
      <w:r>
        <w:rPr>
          <w:rFonts w:ascii="Arial" w:cs="Arial" w:eastAsia="Arial" w:hAnsi="Arial"/>
          <w:sz w:val="17"/>
          <w:szCs w:val="17"/>
          <w:color w:val="auto"/>
        </w:rPr>
        <w:t>—Sales and marketing expenses includes spend related to performance and embedded channels, channel media,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branding, public relations, sponsorship, consumer insights and referral fees. These expenses also include related employee costs including salaries, health benefits, bonuses, employee retirement plan related expenses and employee share-based compensation expense, or Personnel Costs, and overhead allocated based on headcount, or Overhead. It also includes certain warrant compensation expense related to our embedded channel. We incur sales and marketing expenses for all product offerings. Sales and marketing costs are expensed as incurred. Certain warrant compensation expense is recognized on a pro-rata basis considering progress toward completing the integrated automobile insurance solution for Carvana’s online car buying platform, or Integrated Platform, under the Carvana commercial agreement</w:t>
      </w:r>
    </w:p>
    <w:p>
      <w:pPr>
        <w:spacing w:after="0" w:line="11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Other Insurance (Benefit) Expense</w:t>
      </w:r>
      <w:r>
        <w:rPr>
          <w:rFonts w:ascii="Arial" w:cs="Arial" w:eastAsia="Arial" w:hAnsi="Arial"/>
          <w:sz w:val="17"/>
          <w:szCs w:val="17"/>
          <w:color w:val="auto"/>
        </w:rPr>
        <w:t>—Other insurance (benefit) expense includes underwriting expenses, credit card and policy processing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premium write-offs, insurance license expenses, certain warrant compensation expense related to our embedded channel, and Personnel Costs and Overhead related to actuarial and certain data science activities. Other insurance (benefit) expense also includes amortization of deferred acquisition costs like certain commissions, premium taxes and report costs related to the successful acquisition of a policy. Other insurance (benefit) expense is expensed as incurred, except for costs related to deferred acquisition costs that are capitalized and subsequently amortized over the same period in which the related premiums are earned. Certain warrant compensation expense is recognized on a pro-rata basis for policies originated from the Integrated Platform towards milestones as defined under the Carvana commercial agreement.</w:t>
      </w:r>
    </w:p>
    <w:p>
      <w:pPr>
        <w:spacing w:after="0" w:line="12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expenses are also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(benefit) expense.</w:t>
      </w:r>
    </w:p>
    <w:p>
      <w:pPr>
        <w:spacing w:after="0" w:line="12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Technology and development</w:t>
      </w:r>
      <w:r>
        <w:rPr>
          <w:rFonts w:ascii="Arial" w:cs="Arial" w:eastAsia="Arial" w:hAnsi="Arial"/>
          <w:sz w:val="16"/>
          <w:szCs w:val="16"/>
          <w:color w:val="auto"/>
        </w:rPr>
        <w:t>—Technology and development expense consists of software development costs related to our mobile app and homegrown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9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expenses primarily relate to external professional service expenses; Personnel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Overhead for corporate functions; and depreciation expense for computers, furniture and other fixed assets; write-offs; and restructuring costs associated with the involuntary workforce reductions. Restructuring costs include severance, benefits, share-based compensation, employee compensation expense, dependent upon continuous employment for certain employees, and related employee costs, or Employee costs, real estate exit costs and software costs. General and administrative expenses are expensed as incurred.</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Policy Acquisition Costs</w:t>
      </w:r>
      <w:r>
        <w:rPr>
          <w:rFonts w:ascii="Arial" w:cs="Arial" w:eastAsia="Arial" w:hAnsi="Arial"/>
          <w:sz w:val="16"/>
          <w:szCs w:val="16"/>
          <w:color w:val="auto"/>
        </w:rPr>
        <w:t>—Acquisition costs consist primarily of premium taxes, certain marketing costs and underwriting expenses,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net of ceding commissions, related to the successful acquisition of new or renewal business. They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acquisition costs. Any portion of the ceding commission that exceeds the acquisition costs of the business ceded is recorded as excess ceding commission, a deferred liability, and amortized over the same period in which the related premiums are earned. Deferred acquisition costs, net of accumulated amortization, was $6.7 million and $2.8 million as of December 31, 2022 and 2021, respectively. We amortized deferred acquisition costs of $22.5 million, $26.4 million and $17.1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Loss and Loss Adjustment Expense and Reserves</w:t>
      </w:r>
      <w:r>
        <w:rPr>
          <w:rFonts w:ascii="Arial" w:cs="Arial" w:eastAsia="Arial" w:hAnsi="Arial"/>
          <w:sz w:val="17"/>
          <w:szCs w:val="17"/>
          <w:color w:val="auto"/>
        </w:rPr>
        <w:t>—Loss and LAE reserves include an amount determined using adjuster determined case-base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for reported claims and actuarial determined unpaid claim estimates using past experience and historical emergence patterns for unreported losses and LAE. These reserves are a liability established to cover the estimated ultimate cost to settle insured losses. The estimation of the liability for loss and LAE reserves is complex and includes subjective considerations and management’s judgement. The actuarial methods to determine unpaid loss estimates consider loss trends, contract interpretation, mix of business, regulatory environment, economic conditions, inflation and other risk factors impacting claims settlement. The method used to estimate unpaid LAE liability is based on claims transaction data, including the relative cost of adjusting and settling a range of claim types from express material damage claims to more complex injury cases. There is considerable uncertainty associated with the actuarial estimates, and therefore no assurance can be made that the ultimate unpaid claim liability will not vary materially from such estimates. These loss estimates are continually reviewed by management and adjusted as necessary, with adjustments included in the period determined and recorded in loss and LAE in our consolidated statements of operations and comprehensive loss. As such, loss and LAE reserves represent management’s best estimate of the ultimate liability related to reported and unreported claims.</w:t>
      </w:r>
    </w:p>
    <w:p>
      <w:pPr>
        <w:spacing w:after="0" w:line="1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loss and LAE reserves are recorded gross of reinsurance and net of amounts expected to be received from salvage (the amount recovered from a total loss claims expense) and subrogation (the right to recover payments from third parties).</w:t>
      </w:r>
    </w:p>
    <w:p>
      <w:pPr>
        <w:spacing w:after="0" w:line="11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Loss and LAE is recorded net of amounts ceded to reinsurers. We enter into reinsurance contracts to limit our exposure to potential losses as well as to provide additional capacity for growth. These expenses are a function of the size and term of the insurance policies we write and the loss experience associated with the underlying risks. Loss and LAE may be paid out over a period of years. Various other expenses incurred during claims processing are allocated to LAE. These amounts include claims Personnel Costs, software expense, internally developed software amortization, and Overhead.</w:t>
      </w:r>
    </w:p>
    <w:p>
      <w:pPr>
        <w:spacing w:after="0" w:line="9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Reinsurance</w:t>
      </w:r>
      <w:r>
        <w:rPr>
          <w:rFonts w:ascii="Arial" w:cs="Arial" w:eastAsia="Arial" w:hAnsi="Arial"/>
          <w:sz w:val="17"/>
          <w:szCs w:val="17"/>
          <w:color w:val="auto"/>
        </w:rPr>
        <w:t>—In the ordinary course of business, we cede and retrocede a portion of our business written and assumed, respectively, to reinsurers to limit</w:t>
      </w:r>
      <w:r>
        <w:rPr>
          <w:rFonts w:ascii="Arial" w:cs="Arial" w:eastAsia="Arial" w:hAnsi="Arial"/>
          <w:sz w:val="17"/>
          <w:szCs w:val="17"/>
          <w:b w:val="1"/>
          <w:bCs w:val="1"/>
          <w:color w:val="auto"/>
        </w:rPr>
        <w:t xml:space="preserve"> </w:t>
      </w:r>
      <w:r>
        <w:rPr>
          <w:rFonts w:ascii="Arial" w:cs="Arial" w:eastAsia="Arial" w:hAnsi="Arial"/>
          <w:sz w:val="17"/>
          <w:szCs w:val="17"/>
          <w:color w:val="auto"/>
        </w:rPr>
        <w:t>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Ceding commissions received in connection with reinsurance ceded have been accounted for as a reduction of other insurance (benefit) expense in the consolidated statements of operations and comprehensive loss.</w:t>
      </w:r>
    </w:p>
    <w:p>
      <w:pPr>
        <w:spacing w:after="0" w:line="129"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Some of our reinsurance agreements provide for adjustment of commissions or amount of coverage based on loss experience. We recognize the asset or liability arising from these adjustable features in the period the adjustment occurs, which is calculated based on experience to date under the agreement.</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our reinsurance from a diverse group of reinsurers and monitor concentration as well as financial strength ratings of the reinsurers to minimize counterparty credit risk. To recognize this risk of credit loss, we have established an allowance for credit losses based on the probability of default and the expected loss given default as influenced by factors such as the reinsurer’s credit rating and average life of our reinsurance recoverables. Allowance for credit losses was $0.2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—For the 2022 tax year, Root, Inc. will file a consolidated federal income tax return with Caret Holdings, Inc., Root Insurance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Root Property &amp; Casualty, Root Lone Star Insurance Agency, Inc, and Root Reinsurance Company, Ltd. The consolidated return also includes Root Insurance Agency, LLC, Root Enterprise, LLC and Root Scout, LLC, which are disregarded entities under Caret Holdings, Inc. for federal income tax purposes.</w:t>
      </w:r>
    </w:p>
    <w:p>
      <w:pPr>
        <w:spacing w:after="0" w:line="13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Deferred tax assets are recognized as allowed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establish a valuation allowance when there is more likely than not insufficient evidence to support the recoverability of the deferred tax asset under ASC 740. In making such a determination, management considers all available positive and negative evidence, including future reversals of existing taxable temporary differences, projected future taxable income, tax planning strategies, and results of recent operations. If it is determined that the deferred tax assets would be realizable in the future in excess of their net recorded amount, an adjustment would be made to the deferred tax asset valuation allowance, which would reduce the provision for income taxes. A valuation allowance of $322.3 million and $255.0 million was established as of December 31, 2022 and 2021, respectively. Further details are discussed in Note 9, "Income Taxes."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 the tax benefits of uncertain tax positions only when the position is more likely than not to be sustained under examination by the appropriate taxing authority. Interest and penalties on our reserve for uncertain tax positions are recognized as a component of tax expense. As of December 31, 2022 and 2021, we did not have any unrecognized tax benefits for uncertain tax positions and had no accrued interest or penalties related to uncertain tax positions.</w:t>
      </w:r>
    </w:p>
    <w:p>
      <w:pPr>
        <w:spacing w:after="0" w:line="1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Internally Developed Software</w:t>
      </w:r>
      <w:r>
        <w:rPr>
          <w:rFonts w:ascii="Arial" w:cs="Arial" w:eastAsia="Arial" w:hAnsi="Arial"/>
          <w:sz w:val="17"/>
          <w:szCs w:val="17"/>
          <w:color w:val="auto"/>
        </w:rPr>
        <w:t>—We review our software development activity and capitalize costs during the application development phase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ASC 350-40, </w:t>
      </w:r>
      <w:r>
        <w:rPr>
          <w:rFonts w:ascii="Arial" w:cs="Arial" w:eastAsia="Arial" w:hAnsi="Arial"/>
          <w:sz w:val="17"/>
          <w:szCs w:val="17"/>
          <w:i w:val="1"/>
          <w:iCs w:val="1"/>
          <w:color w:val="auto"/>
        </w:rPr>
        <w:t>Internal-Use Software.</w:t>
      </w:r>
      <w:r>
        <w:rPr>
          <w:rFonts w:ascii="Arial" w:cs="Arial" w:eastAsia="Arial" w:hAnsi="Arial"/>
          <w:sz w:val="17"/>
          <w:szCs w:val="17"/>
          <w:color w:val="auto"/>
        </w:rPr>
        <w:t xml:space="preserve"> These costs are amortized on a straight-line basis over a five-year period. Internally developed software costs are assessed for impairment at least quarterly, which also ensures that the assets are still in service. If there are assets identified as no longer in use, the remaining unamortized costs will be fully amortized. We amortized internally developed software of $5.0 million, $3.7 million and $2.4 million for the years ended December 31, 2022, 2021 and 2020, respectively. The capitalized cost and accumulated amortization of internally developed software in other assets in our consolidated balance sheets at December 31, 2022 and 2021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5"/>
              </w:rPr>
              <w:t>29.3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20.5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3"/>
              </w:rPr>
              <w:t>(13.0)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7"/>
              </w:rPr>
              <w:t>(8.0)</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Internally developed software,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5"/>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Fixed Assets</w:t>
      </w:r>
      <w:r>
        <w:rPr>
          <w:rFonts w:ascii="Arial" w:cs="Arial" w:eastAsia="Arial" w:hAnsi="Arial"/>
          <w:sz w:val="18"/>
          <w:szCs w:val="18"/>
          <w:color w:val="auto"/>
        </w:rPr>
        <w:t>—Fixed Assets are carried at cost, net of accumulated depreciation. We capitalize purchases of certain fixed assets, including computers,</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and leasehold improvements. Depreciation on computers and furniture is recognized on a straight-line basis over a useful life of three years and five years, respectively. Depreciation on leasehold improvements is recognized on a straight-line basis over the shorter of their useful life or the life of the lease. When certain events or changes in operating conditions occur, an impairment assessment may be performed on the recoverability of the carrying amounts. For the years ended December 31, 2022, 2021 and 2020, depreciation expense was $2.1 million, $4.6 million and $3.1 million, respectively. The capitalized cost and accumulated depreciation of fixed assets in other assets in our consolidated balance sheets at December 31, 2022 and 2021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Furniture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fixed assets, at cost</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Fixed assets, net</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Employee Share-Based Compensation</w:t>
      </w:r>
      <w:r>
        <w:rPr>
          <w:rFonts w:ascii="Arial" w:cs="Arial" w:eastAsia="Arial" w:hAnsi="Arial"/>
          <w:sz w:val="18"/>
          <w:szCs w:val="18"/>
          <w:color w:val="auto"/>
        </w:rPr>
        <w:t>—We award share-based compensation, including stock options with only a service condition, stock options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and performance conditions, restricted stock units, or RSUs, and restricted stock, to our officers, directors, employees, and certain advisors through approval from the Compensation Committee of the board of directors.</w:t>
      </w:r>
    </w:p>
    <w:p>
      <w:pPr>
        <w:spacing w:after="0" w:line="12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Share-based compensation expense is recognized based on the grant date fair value of the awards, which is determined using the Black-Scholes Merton, or BSM, option-pricing model. The BSM option pricing model requires inputs based on certain subjective assumptions, including the expected stock price volatility, the expected term of the options, the risk-free interest rate for a period that approximates the expected term of the option, and our expected dividend yield. The fair value of common stock underlying the stock options, restricted stock and RSUs granted before our initial public offering, or IPO,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In connection with our IPO, our common stock became listed on the Nasdaq Global Select Market and we use these market prices for the fair value of our common shares. Stock options are generally exercisable for a period up to ten years from the grant date.</w:t>
      </w:r>
    </w:p>
    <w:p>
      <w:pPr>
        <w:spacing w:after="0" w:line="11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recognize forfeitures as they occur, which generally results in the reversal of previously recognized expense for nonvested awards. In the event of an involuntary termination that results in the cancellation of an award, the remaining unrecognized compensation cost for the entire award is recognized in the period of cancellation. If the award is cancelled and concurrently replaced upon termination, it follows modification accounting, typically as a Type III improbable-to-probable modification whereby it is effectively treated as a forfeiture and new grant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Stock options with only a service condition generally vest over four years - 25% cliff vests after one year and approximately 2% vests each month over three years thereafter. Stock options with service and performance conditions generally vest ratably over a four-year period assuming achievement of the performance conditions. The compensation expense associated with nonvested stock options that have performance conditions is dependent on our periodic assessment of the probability of the performance conditions being achieved. If deemed probable, we recognize compensation expense on a straight-line basis over the requisite service period. If a performance condition is no longer probable of achievement, any previously recognized compensation expense is reversed and no subsequent compensation expense is recognized until achievement is once again probable, at which point a cumulative catch-up is recognized. RSUs generally vest over four years - 25% cliff vests after one year and approximately 2% vests each month over three years thereafter. Certain other RSUs vest in accordance with one of the following patterns: over four years - 25% cliff vests after one year and in equal increments quarterly over three years thereafter, over four years in equal quarterly increments, or fully cliff vest after one year. We generally recognize share-based compensation expense ratably over the respective vesting period.</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Warrant Compensation</w:t>
      </w:r>
      <w:r>
        <w:rPr>
          <w:rFonts w:ascii="Arial" w:cs="Arial" w:eastAsia="Arial" w:hAnsi="Arial"/>
          <w:sz w:val="17"/>
          <w:szCs w:val="17"/>
          <w:color w:val="auto"/>
        </w:rPr>
        <w:t>—In October 2021, we closed the Investment Agreement with Carvana that included the issuance of 14.1 million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redeemable convertible preferred stock designated as the Series A Convertible Preferred Stock and the issuance of eight tranches of warrants to purchase shares of the Company’s Class A common stock. As part of the investment agreement, we and Carvana also entered into a five-year commercial agreement whereby our auto insurance products will be embedded into the Integrated Platform. The commercial agreement provides for agent commissions payable to Carvana for policy origination and an enterprise total loss replacement vehicle solution.</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Carvana warrants compensation expense is recognized based on the grant date fair value of the award, which was determined using a Monte Carlo simulation in a risk-neutral framework, as contemplated in the Income Approach of valuation. Specifically, future equity is simulated in each period assuming a Geometric Brownian Motion. We considered the features of the warrants and the interdependency of exercise decisions between the Short-Term Warrants and the Long-Term Warrants in using the Monte Carlo simulation in order to determine the optimum exercise decision. The optimum exercise decision was made by choosing the option which would give the highest aggregate expected value to the holder in each of the 100,000 simulated paths. The payoff of each path is then calculated based on the simulated equity and discounted back to time zero using the applicable risk-free rates. The fair value of the warrants are then calculated as the average value from all simulation paths.</w:t>
      </w:r>
    </w:p>
    <w:p>
      <w:pPr>
        <w:spacing w:after="0" w:line="12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Employing a Monte Carlo simulation with Geometric Brownian Motion requires a range of inputs for each uncertain variable, and establishing linkage between the assumptions, if necessary. Inputs and assumptions used in our analysis included our stock price at grant date, exercise prices, the term of the warrants, equity volatility, risk-free rate and dividend yield. Additional considerations included a discount for lack of marketability resulting from Carvana’s five-year lock-up period.</w:t>
      </w:r>
    </w:p>
    <w:p>
      <w:pPr>
        <w:spacing w:after="0" w:line="1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These warrants vest as the parties develop an integrated automobile insurance solution for the Integrated Platform and insurance sales through the Integrated Platform. The associated compensation expense is dependent on our periodic assessment of the probability of the milestones being achieved. If deemed probable, we recognize compensation expense on a pro-rata basis considering progress toward achieving the milestones. If a performance condition is no longer probable of achievement, any previously recognized compensation expense is reversed and no subsequent compensation expense is recognized until achievement is once again probable, at which point a cumulative catch-up is recognized. In determining the classification as equity, we followed guidance issued within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FASB ASC 815, </w:t>
      </w:r>
      <w:r>
        <w:rPr>
          <w:rFonts w:ascii="Arial" w:cs="Arial" w:eastAsia="Arial" w:hAnsi="Arial"/>
          <w:sz w:val="16"/>
          <w:szCs w:val="16"/>
          <w:i w:val="1"/>
          <w:iCs w:val="1"/>
          <w:color w:val="auto"/>
        </w:rPr>
        <w:t>Derivatives and Hedging.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Note 12,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Net Loss Per Share</w:t>
      </w:r>
      <w:r>
        <w:rPr>
          <w:rFonts w:ascii="Arial" w:cs="Arial" w:eastAsia="Arial" w:hAnsi="Arial"/>
          <w:sz w:val="17"/>
          <w:szCs w:val="17"/>
          <w:color w:val="auto"/>
        </w:rPr>
        <w:t>—Net loss per share, or EPS, results are a key indicator of the overall performance relative to each share of our outstanding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Basic EPS share for both Class A and Class B common stock is computed by dividing net loss attributable to common stockholders by the weighted-average number of common shares vested and outstanding during the period. In addition to common shares outstanding, the computation of basic EPS includes instruments for which the holder is deemed to have the present rights to share in current period earnings (loss) with common stockholders. Accordingly, the warrants issued in connection with our $100.0 million term loan entered on November 25, 2019, or Term Loan B, were included in the 2020 weighted-average number of common shares outstanding because they had an insignificant exercise price of $0.0001 per share and were therefore considered outstanding common shares for computation of basic EPS.</w:t>
      </w:r>
    </w:p>
    <w:p>
      <w:pPr>
        <w:spacing w:after="0" w:line="1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Diluted EPS for both Class A and Class B common stock includes all the components of basic EPS, plus the dilutive effect of common stock equivalents, but excludes those common stock equivalents from the calculation of diluted EPS when the effect of inclusion, assessed individually, would be anti-dilutive. Notable dilutive securities relevant to our operations are stock options, performance stock options, nonvested shares subject to repurchase, restricted stock units, warrants and redeemable convertible preferred stock.</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operated at a loss for the years ended December 31, 2022, 2021 and 2020. Therefore, the conversion of common stock equivalents would increase the denominator of the EPS calculation and create a lower loss per share. Therefore, these common stock equivalents are considered antidilutive and diluted EPS is equal to basic EPS. Losses are allocated equally between both classes of common stock because they are entitled to the same liquidation and dividend rights.</w:t>
      </w:r>
    </w:p>
    <w:p>
      <w:pPr>
        <w:spacing w:after="0" w:line="1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Recently Adopted Accounting Pronouncements</w:t>
      </w:r>
      <w:r>
        <w:rPr>
          <w:rFonts w:ascii="Arial" w:cs="Arial" w:eastAsia="Arial" w:hAnsi="Arial"/>
          <w:sz w:val="18"/>
          <w:szCs w:val="18"/>
          <w:color w:val="auto"/>
        </w:rPr>
        <w:t>—There were no accounting standards adopted in 2022 that had a material impact in our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w:t>
      </w:r>
    </w:p>
    <w:p>
      <w:pPr>
        <w:spacing w:after="0" w:line="10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color w:val="auto"/>
        </w:rPr>
        <w:t>Recently Issued Financial Accounting Standards Not Yet Adopted</w:t>
      </w:r>
      <w:r>
        <w:rPr>
          <w:rFonts w:ascii="Arial" w:cs="Arial" w:eastAsia="Arial" w:hAnsi="Arial"/>
          <w:sz w:val="17"/>
          <w:szCs w:val="17"/>
          <w:color w:val="auto"/>
        </w:rPr>
        <w:t>—We assess the adoption impacts of recently issued accounting standards by the</w:t>
      </w:r>
      <w:r>
        <w:rPr>
          <w:rFonts w:ascii="Arial" w:cs="Arial" w:eastAsia="Arial" w:hAnsi="Arial"/>
          <w:sz w:val="17"/>
          <w:szCs w:val="17"/>
          <w:b w:val="1"/>
          <w:bCs w:val="1"/>
          <w:color w:val="auto"/>
        </w:rPr>
        <w:t xml:space="preserve"> </w:t>
      </w:r>
      <w:r>
        <w:rPr>
          <w:rFonts w:ascii="Arial" w:cs="Arial" w:eastAsia="Arial" w:hAnsi="Arial"/>
          <w:sz w:val="17"/>
          <w:szCs w:val="17"/>
          <w:color w:val="auto"/>
        </w:rPr>
        <w:t>FASB in our consolidated financial statements as well as material updates to previous assessments, if any from our 2021 Form 10-K. There were no accounting standards issued in 2022 that are expected to have a material impact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short-term investments and available-for-sale fixed maturity securities at December 31, 2022 and 2021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1"/>
                <w:szCs w:val="11"/>
                <w:color w:val="auto"/>
              </w:rPr>
            </w:pPr>
          </w:p>
        </w:tc>
        <w:tc>
          <w:tcPr>
            <w:tcW w:w="162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Allowance for Expected</w:t>
            </w:r>
          </w:p>
        </w:tc>
        <w:tc>
          <w:tcPr>
            <w:tcW w:w="20" w:type="dxa"/>
            <w:vAlign w:val="bottom"/>
          </w:tcPr>
          <w:p>
            <w:pPr>
              <w:spacing w:after="0"/>
              <w:rPr>
                <w:sz w:val="11"/>
                <w:szCs w:val="11"/>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Gross Unrealized Gains</w:t>
            </w:r>
          </w:p>
        </w:tc>
        <w:tc>
          <w:tcPr>
            <w:tcW w:w="20" w:type="dxa"/>
            <w:vAlign w:val="bottom"/>
          </w:tcPr>
          <w:p>
            <w:pPr>
              <w:spacing w:after="0"/>
              <w:rPr>
                <w:sz w:val="11"/>
                <w:szCs w:val="11"/>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6"/>
              </w:rPr>
              <w:t>U.S. Treasury securities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Residential mortgage-backed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w w:val="90"/>
              </w:rPr>
              <w:t>Commercial mortgage-backed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0"/>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4"/>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1"/>
                <w:szCs w:val="11"/>
                <w:color w:val="auto"/>
              </w:rPr>
            </w:pPr>
          </w:p>
        </w:tc>
        <w:tc>
          <w:tcPr>
            <w:tcW w:w="162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w w:val="98"/>
              </w:rPr>
              <w:t>Allowance for Expected</w:t>
            </w:r>
          </w:p>
        </w:tc>
        <w:tc>
          <w:tcPr>
            <w:tcW w:w="20" w:type="dxa"/>
            <w:vAlign w:val="bottom"/>
          </w:tcPr>
          <w:p>
            <w:pPr>
              <w:spacing w:after="0"/>
              <w:rPr>
                <w:sz w:val="11"/>
                <w:szCs w:val="11"/>
                <w:color w:val="auto"/>
              </w:rPr>
            </w:pPr>
          </w:p>
        </w:tc>
        <w:tc>
          <w:tcPr>
            <w:tcW w:w="16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Gross Unrealized Gains</w:t>
            </w:r>
          </w:p>
        </w:tc>
        <w:tc>
          <w:tcPr>
            <w:tcW w:w="20" w:type="dxa"/>
            <w:vAlign w:val="bottom"/>
          </w:tcPr>
          <w:p>
            <w:pPr>
              <w:spacing w:after="0"/>
              <w:rPr>
                <w:sz w:val="11"/>
                <w:szCs w:val="11"/>
                <w:color w:val="auto"/>
              </w:rPr>
            </w:pPr>
          </w:p>
        </w:tc>
        <w:tc>
          <w:tcPr>
            <w:tcW w:w="16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Credit Losses</w:t>
            </w: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w w:val="96"/>
              </w:rPr>
              <w:t>U.S. Treasury securities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308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Residential mortgage-backed securities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080" w:type="dxa"/>
            <w:vAlign w:val="bottom"/>
          </w:tcPr>
          <w:p>
            <w:pPr>
              <w:ind w:left="140"/>
              <w:spacing w:after="0"/>
              <w:rPr>
                <w:sz w:val="20"/>
                <w:szCs w:val="20"/>
                <w:color w:val="auto"/>
              </w:rPr>
            </w:pPr>
            <w:r>
              <w:rPr>
                <w:rFonts w:ascii="Arial" w:cs="Arial" w:eastAsia="Arial" w:hAnsi="Arial"/>
                <w:sz w:val="18"/>
                <w:szCs w:val="18"/>
                <w:color w:val="auto"/>
                <w:w w:val="90"/>
              </w:rPr>
              <w:t>Commercial mortgage-backed securities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308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10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reviewed the available-for-sale securities at each balance sheet date to consider whether it was necessary to recognize a credit loss as of December 31, 2022 and 2021.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December 31, 2022 and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left="676"/>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54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36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shd w:val="clear" w:color="auto" w:fill="CCEEFF"/>
          </w:tcPr>
          <w:p>
            <w:pPr>
              <w:jc w:val="center"/>
              <w:ind w:right="2070"/>
              <w:spacing w:after="0"/>
              <w:rPr>
                <w:sz w:val="20"/>
                <w:szCs w:val="20"/>
                <w:color w:val="auto"/>
              </w:rPr>
            </w:pPr>
            <w:r>
              <w:rPr>
                <w:rFonts w:ascii="Arial" w:cs="Arial" w:eastAsia="Arial" w:hAnsi="Arial"/>
                <w:sz w:val="18"/>
                <w:szCs w:val="18"/>
                <w:color w:val="auto"/>
                <w:w w:val="93"/>
              </w:rPr>
              <w:t>Fixed maturities: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3440" w:type="dxa"/>
            <w:vAlign w:val="bottom"/>
          </w:tcPr>
          <w:p>
            <w:pPr>
              <w:ind w:left="360"/>
              <w:spacing w:after="0"/>
              <w:rPr>
                <w:sz w:val="20"/>
                <w:szCs w:val="20"/>
                <w:color w:val="auto"/>
              </w:rPr>
            </w:pPr>
            <w:r>
              <w:rPr>
                <w:rFonts w:ascii="Arial" w:cs="Arial" w:eastAsia="Arial" w:hAnsi="Arial"/>
                <w:sz w:val="18"/>
                <w:szCs w:val="18"/>
                <w:color w:val="auto"/>
              </w:rPr>
              <w:t>Total fixed maturities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jc w:val="center"/>
              <w:ind w:right="2070"/>
              <w:spacing w:after="0"/>
              <w:rPr>
                <w:sz w:val="20"/>
                <w:szCs w:val="20"/>
                <w:color w:val="auto"/>
              </w:rPr>
            </w:pPr>
            <w:r>
              <w:rPr>
                <w:rFonts w:ascii="Arial" w:cs="Arial" w:eastAsia="Arial" w:hAnsi="Arial"/>
                <w:sz w:val="18"/>
                <w:szCs w:val="18"/>
                <w:color w:val="auto"/>
                <w:w w:val="89"/>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left="676"/>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54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6"/>
                <w:szCs w:val="16"/>
                <w:color w:val="auto"/>
              </w:rPr>
            </w:pPr>
          </w:p>
        </w:tc>
        <w:tc>
          <w:tcPr>
            <w:tcW w:w="2360" w:type="dxa"/>
            <w:vAlign w:val="bottom"/>
            <w:gridSpan w:val="5"/>
          </w:tcPr>
          <w:p>
            <w:pPr>
              <w:ind w:left="460"/>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174"/>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shd w:val="clear" w:color="auto" w:fill="CCEEFF"/>
          </w:tcPr>
          <w:p>
            <w:pPr>
              <w:jc w:val="center"/>
              <w:ind w:right="2070"/>
              <w:spacing w:after="0"/>
              <w:rPr>
                <w:sz w:val="20"/>
                <w:szCs w:val="20"/>
                <w:color w:val="auto"/>
              </w:rPr>
            </w:pPr>
            <w:r>
              <w:rPr>
                <w:rFonts w:ascii="Arial" w:cs="Arial" w:eastAsia="Arial" w:hAnsi="Arial"/>
                <w:sz w:val="18"/>
                <w:szCs w:val="18"/>
                <w:color w:val="auto"/>
                <w:w w:val="93"/>
              </w:rPr>
              <w:t>Fixed maturities: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U.S. Treasury securities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jc w:val="center"/>
              <w:ind w:right="2070"/>
              <w:spacing w:after="0"/>
              <w:rPr>
                <w:sz w:val="20"/>
                <w:szCs w:val="20"/>
                <w:color w:val="auto"/>
              </w:rPr>
            </w:pPr>
            <w:r>
              <w:rPr>
                <w:rFonts w:ascii="Arial" w:cs="Arial" w:eastAsia="Arial" w:hAnsi="Arial"/>
                <w:sz w:val="18"/>
                <w:szCs w:val="18"/>
                <w:color w:val="auto"/>
                <w:w w:val="89"/>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December 31, 2022 and 2021, other investments related to our private equity investments were $4.4 million and $4.7 million, respectively. We recognized $1.2 million and zero of realized gains in December 31, 2022 and 2021, respectively. We recorded the sale of one of our private equity investments within net realized gains on investments in our consolidated statements of operations and comprehensive loss for the year ended December 31, 2022. There were no impairment losses recognized on private equity investments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following table reflects the gross and net realized gains and losses on short-term investments, available-for-sale fixed maturities and other investments that have been included in the consolidated statements of operations and comprehensive loss for the years ended December 31, 2022, 2021 and 2020: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 on investments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7"/>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87"/>
              </w:rPr>
              <w:t>0.5</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 on investments</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37"/>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15"/>
              <w:spacing w:after="0"/>
              <w:rPr>
                <w:sz w:val="20"/>
                <w:szCs w:val="20"/>
                <w:color w:val="auto"/>
              </w:rPr>
            </w:pPr>
            <w:r>
              <w:rPr>
                <w:rFonts w:ascii="Arial" w:cs="Arial" w:eastAsia="Arial" w:hAnsi="Arial"/>
                <w:sz w:val="18"/>
                <w:szCs w:val="18"/>
                <w:color w:val="auto"/>
                <w:w w:val="97"/>
              </w:rPr>
              <w:t>(0.2)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realized gains on investments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57"/>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8"/>
                <w:szCs w:val="18"/>
                <w:color w:val="auto"/>
                <w:w w:val="87"/>
              </w:rPr>
              <w:t>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amortized cost and fair value of short-term investments and available-for-sale fixed maturity securities by contractual maturity at December 31,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194"/>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933"/>
              <w:spacing w:after="0"/>
              <w:rPr>
                <w:sz w:val="20"/>
                <w:szCs w:val="20"/>
                <w:color w:val="auto"/>
              </w:rPr>
            </w:pPr>
            <w:r>
              <w:rPr>
                <w:rFonts w:ascii="Arial" w:cs="Arial" w:eastAsia="Arial" w:hAnsi="Arial"/>
                <w:sz w:val="14"/>
                <w:szCs w:val="14"/>
                <w:b w:val="1"/>
                <w:bCs w:val="1"/>
                <w:color w:val="auto"/>
              </w:rPr>
              <w:t>(dollars in millions)</w:t>
            </w: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five years through 10 years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10 years</w:t>
            </w:r>
          </w:p>
        </w:tc>
        <w:tc>
          <w:tcPr>
            <w:tcW w:w="1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0"/>
        </w:trPr>
        <w:tc>
          <w:tcPr>
            <w:tcW w:w="79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9680" w:type="dxa"/>
            <w:vAlign w:val="bottom"/>
            <w:gridSpan w:val="7"/>
          </w:tcPr>
          <w:p>
            <w:pPr>
              <w:spacing w:after="0"/>
              <w:rPr>
                <w:sz w:val="20"/>
                <w:szCs w:val="20"/>
                <w:color w:val="auto"/>
              </w:rPr>
            </w:pPr>
            <w:r>
              <w:rPr>
                <w:rFonts w:ascii="Arial" w:cs="Arial" w:eastAsia="Arial" w:hAnsi="Arial"/>
                <w:sz w:val="18"/>
                <w:szCs w:val="18"/>
                <w:color w:val="auto"/>
                <w:w w:val="94"/>
              </w:rPr>
              <w:t>The following table sets forth the components of net investment income for the years ended December 31, 2022, 2021 and 2020:</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6"/>
        </w:trPr>
        <w:tc>
          <w:tcPr>
            <w:tcW w:w="6360" w:type="dxa"/>
            <w:vAlign w:val="bottom"/>
          </w:tcPr>
          <w:p>
            <w:pPr>
              <w:spacing w:after="0"/>
              <w:rPr>
                <w:sz w:val="24"/>
                <w:szCs w:val="24"/>
                <w:color w:val="auto"/>
              </w:rPr>
            </w:pPr>
          </w:p>
        </w:tc>
        <w:tc>
          <w:tcPr>
            <w:tcW w:w="106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5"/>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bonds</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Interest on deposits and cash equivalents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investments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Net investment income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Unrealized gains resulting from observable price changes related to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tables summarize the credit ratings of short-term investments and available-for-sale fixed maturity securities at December 31,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2022</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3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jc w:val="right"/>
              <w:ind w:right="435"/>
              <w:spacing w:after="0" w:line="12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S&amp;P Global rating or equivalent</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Pursuant to certain regulatory requirements, we are required to hold assets on deposit with various state insurance departments for the benefit of policyholders. These special deposits are included in fixed maturities available-for-sale on the consolidated balance sheets. As of December 31, 2022 and 2021, these required deposits had an amortized cost of $11.7 million and $13.4 million, respectively, and fair value of $11.3 million and $13.8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about our financial assets measured and reported at fair value as of December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97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487.3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496.5</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jc w:val="right"/>
              <w:ind w:right="976"/>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w w:val="93"/>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Residential mortgage-backed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mortgage-backed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Other debt obligations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127.0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Investments Measured at Fair Value on a Non-Recurring Basis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unobservable inputs including volatility, rights, and obligations of the investments we hold. See Note 3, “Investments,” for further information on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amount of long-term debt is recorded at the unpaid balance, net of discount and debt issuance costs. The fair value of outstanding long-term debt as of December 31, 2022 was classified within Level 2 of the fair value hierarchy. The fair value was based on a model referencing observable interest rates and spreads to project and discount cash flows to present value. As of December 31, 2022 and 2021, the carrying amounts and fair values of these financial instruments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Carrying amount as of</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Fair Value as of</w:t>
            </w:r>
          </w:p>
        </w:tc>
        <w:tc>
          <w:tcPr>
            <w:tcW w:w="240" w:type="dxa"/>
            <w:vAlign w:val="bottom"/>
          </w:tcPr>
          <w:p>
            <w:pPr>
              <w:spacing w:after="0"/>
              <w:rPr>
                <w:sz w:val="14"/>
                <w:szCs w:val="14"/>
                <w:color w:val="auto"/>
              </w:rPr>
            </w:pPr>
          </w:p>
        </w:tc>
        <w:tc>
          <w:tcPr>
            <w:tcW w:w="174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Carrying amount as of</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Fair Value as of</w:t>
            </w:r>
          </w:p>
        </w:tc>
      </w:tr>
      <w:tr>
        <w:trPr>
          <w:trHeight w:val="192"/>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December 31, 2021</w:t>
            </w:r>
          </w:p>
        </w:tc>
      </w:tr>
      <w:tr>
        <w:trPr>
          <w:trHeight w:val="194"/>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3"/>
          </w:tcPr>
          <w:p>
            <w:pPr>
              <w:ind w:left="9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reconciliation of the beginning and ending reserve balances for loss and LAE, net of reinsurance: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loss and LAE reserves, January 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Reinsurance recoverable on unpaid losses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LAE reserves, January 1</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Net incurred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incurred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paid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23"/>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paid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LAE reserves, December 31</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losses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Gross loss and LAE reserves, December 31</w:t>
            </w: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Incurred losses and LAE attributable to prior accident years was an increase of $2.9 million, a decrease of $13.6 million and an increase of $20.9 million during 2022, 2021 and 2020, respectively.</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increase to incurred losses for prior accident years in 2022 of $2.9 million was primarily driven by higher-than-expected reported losses from accident year 2021 material damage claims due to higher replacement parts cost and growth in used car values.</w:t>
      </w:r>
    </w:p>
    <w:p>
      <w:pPr>
        <w:spacing w:after="0" w:line="1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decrease to incurred losses for prior accident years in 2021 of approximately $13.6 million was primarily due to lower-than-expected reported losses on bodily injury claims, and higher than expected subrogation and salvage recoveries from accident year 2020 material damage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increase to incurred losses for prior accident years in 2020 of approximately $20.9 million was primarily due to higher than estimated reported losses for bodily injury claims, as well as higher loss emergence on collision claims from prior accident years due to a slower cycle time for reported claims. The year ended December 31, 2020 also included development of incurred losses related to accident years 2019 and prior as a result of a change in estimate.</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adjustments recorded in the year ended December 31, 2020 were necessary in order to effectuate management’s best estimate for determining the estimated ultimate cost of settling claims using our knowledge and experience about past and current events and developments.</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shows incurred and paid losses and allocated loss adjustment expenses, or ALAE, development by accident year for private passenger auto in aggregate, cumulative claim frequency is defined as the number of reported claims at the claim level which includes reported claims that do not result in a liability: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Incurred Losses and ALAE—Net of Reinsurance</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2017 (unaudited)</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2018 (unaudited)</w:t>
            </w: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2019 (unaudited)</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3"/>
              </w:rPr>
              <w:t>2020 (unaudited)</w:t>
            </w:r>
          </w:p>
        </w:tc>
        <w:tc>
          <w:tcPr>
            <w:tcW w:w="2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IBNR</w:t>
            </w:r>
          </w:p>
        </w:tc>
        <w:tc>
          <w:tcPr>
            <w:tcW w:w="1060" w:type="dxa"/>
            <w:vAlign w:val="bottom"/>
          </w:tcPr>
          <w:p>
            <w:pPr>
              <w:jc w:val="right"/>
              <w:ind w:right="154"/>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1"/>
        </w:trPr>
        <w:tc>
          <w:tcPr>
            <w:tcW w:w="1880" w:type="dxa"/>
            <w:vAlign w:val="bottom"/>
            <w:vMerge w:val="continue"/>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60" w:type="dxa"/>
            <w:vAlign w:val="bottom"/>
          </w:tcPr>
          <w:p>
            <w:pPr>
              <w:jc w:val="right"/>
              <w:ind w:right="174"/>
              <w:spacing w:after="0" w:line="201" w:lineRule="exact"/>
              <w:rPr>
                <w:sz w:val="20"/>
                <w:szCs w:val="20"/>
                <w:color w:val="auto"/>
              </w:rPr>
            </w:pPr>
            <w:r>
              <w:rPr>
                <w:rFonts w:ascii="Arial" w:cs="Arial" w:eastAsia="Arial" w:hAnsi="Arial"/>
                <w:sz w:val="14"/>
                <w:szCs w:val="14"/>
                <w:b w:val="1"/>
                <w:bCs w:val="1"/>
                <w:color w:val="auto"/>
              </w:rPr>
              <w:t>Claims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(dollars in millions)</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3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48.3</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18,111</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287.3</w:t>
            </w: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295.9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117,343</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151,988</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115,312</w:t>
            </w: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493,477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4"/>
                <w:szCs w:val="14"/>
                <w:b w:val="1"/>
                <w:bCs w:val="1"/>
                <w:color w:val="auto"/>
                <w:w w:val="96"/>
              </w:rPr>
              <w:t>Cumulative Paid Losses and ALAE—Net of Reinsurance</w:t>
            </w:r>
          </w:p>
        </w:tc>
        <w:tc>
          <w:tcPr>
            <w:tcW w:w="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640" w:type="dxa"/>
            <w:vAlign w:val="bottom"/>
            <w:gridSpan w:val="5"/>
            <w:vMerge w:val="continue"/>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Accident Year</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2017 (unaudited)</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2018 (unaudited)</w:t>
            </w: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8"/>
              </w:rPr>
              <w:t>2019 (unaudited)</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3"/>
              </w:rPr>
              <w:t>2020 (unaudited)</w:t>
            </w:r>
          </w:p>
        </w:tc>
        <w:tc>
          <w:tcPr>
            <w:tcW w:w="2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8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5"/>
              </w:rPr>
              <w:t>(dollars in millions)</w:t>
            </w: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44.6</w:t>
            </w: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177.0</w:t>
            </w: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277.7</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182.0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5"/>
          </w:tcPr>
          <w:p>
            <w:pPr>
              <w:ind w:left="20"/>
              <w:spacing w:after="0"/>
              <w:rPr>
                <w:sz w:val="20"/>
                <w:szCs w:val="20"/>
                <w:color w:val="auto"/>
              </w:rPr>
            </w:pPr>
            <w:r>
              <w:rPr>
                <w:rFonts w:ascii="Arial" w:cs="Arial" w:eastAsia="Arial" w:hAnsi="Arial"/>
                <w:sz w:val="18"/>
                <w:szCs w:val="18"/>
                <w:color w:val="auto"/>
                <w:w w:val="99"/>
              </w:rPr>
              <w:t>Loss and ALAE reserves—net of reinsurance</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Reported by claim event.</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the reconciliation of the claims development tables to the balance sheet losses and ALAE reserves, with separate disclosure of unallocated LAE, or ULAE, and reinsurance recoverable on unpaid losses for the years ended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39"/>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39"/>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and ALAE reserves—net of reinsurance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ULAE reserves—net of reinsurance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recoverables on unpaid losses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63"/>
        </w:trPr>
        <w:tc>
          <w:tcPr>
            <w:tcW w:w="8020" w:type="dxa"/>
            <w:vAlign w:val="bottom"/>
          </w:tcPr>
          <w:p>
            <w:pPr>
              <w:ind w:left="140"/>
              <w:spacing w:after="0"/>
              <w:rPr>
                <w:sz w:val="20"/>
                <w:szCs w:val="20"/>
                <w:color w:val="auto"/>
              </w:rPr>
            </w:pPr>
            <w:r>
              <w:rPr>
                <w:rFonts w:ascii="Arial" w:cs="Arial" w:eastAsia="Arial" w:hAnsi="Arial"/>
                <w:sz w:val="18"/>
                <w:szCs w:val="18"/>
                <w:color w:val="auto"/>
              </w:rPr>
              <w:t>Total loss and LAE reserves—gross of reinsurance</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2" w:name="page113"/>
    <w:bookmarkEnd w:id="11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historical average annual percentage payout of incurred losses and ALAE (claims duration), net of reinsurance,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6</w:t>
            </w:r>
          </w:p>
        </w:tc>
      </w:tr>
      <w:tr>
        <w:trPr>
          <w:trHeight w:val="26"/>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Incremental Paid</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Supplemental information and unaudited.</w:t>
      </w:r>
    </w:p>
    <w:p>
      <w:pPr>
        <w:spacing w:after="0" w:line="15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The following table reflects amounts affecting the consolidated balance sheets and statements of operations and comprehensive loss for reinsurance as of and for the years ended December 31:</w:t>
      </w: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and LAE reserves: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and LAE reserves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Unearned premiums: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Net unearned premiums</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Premiums written:</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Premiums earned: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Net premiums earned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Losses and LAE incurred: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Direct</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losses and LAE incurred</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If our reinsurance was cancelled at December 31, 2022 and 2021, the maximum amount of return ceded commissions due with the return of unearned premiums would have been $19.0 million and $26.5 million, respectively. Our reinsurance recoverable on unpaid losses gross of the provision for loss corridor, loss ratio caps and allowance for credit losses was $143.3 million and $160.7 million as of December 31, 2022 and 2021, respectively. As of December 31, 2022 and 2021, a provision for loss corridor of $66.2 million and $80.4 million, respectively, was recorded as a contra-asset in reinsurance recoverable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January 2022, we entered into the Term Loan, with the full principal amount due and payable upon maturity on January 27, 2027. Interest is payable quarterly and is determined on a floating interest rate currently calculated on the Secured Overnight Financing Rate, or SOFR, with a 1.0% floor, plus</w:t>
      </w:r>
    </w:p>
    <w:p>
      <w:pPr>
        <w:ind w:right="60"/>
        <w:spacing w:after="0" w:line="255" w:lineRule="auto"/>
        <w:rPr>
          <w:sz w:val="20"/>
          <w:szCs w:val="20"/>
          <w:color w:val="auto"/>
        </w:rPr>
      </w:pPr>
      <w:r>
        <w:rPr>
          <w:rFonts w:ascii="Arial" w:cs="Arial" w:eastAsia="Arial" w:hAnsi="Arial"/>
          <w:sz w:val="18"/>
          <w:szCs w:val="18"/>
          <w:color w:val="auto"/>
        </w:rPr>
        <w:t>9.0%, plus 0.26161% per annum. As part of the loan agreement, we issued warrants to the lender to purchase approximately 0.3 million shares of our Class A common stock at a strike price of $162.00 per share. Such warrants will expire on the later of the repayment in full of the Term Loan or January 27, 2027. The total fair value of these warrants at January 27, 2022 was $0.6 million.</w:t>
      </w:r>
    </w:p>
    <w:p>
      <w:pPr>
        <w:spacing w:after="0" w:line="13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Term Loan contains debt covenants which, among other things,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latter set of circumstances, we must issue additional warrants to purchase shares of our Class A common stock equal to 1.0% of the aggregate number of issued and outstanding shares of Class A common stock on a fully-diluted basis as of the date the threshold is reduced. The additional warrants, if issued, would have an exercise price equal to the 30-trading day volume weighted average price of the Class A common stock as of the trading day immediately prior to the triggering date. The additional warrants will expire on the later of the repayment in full of the Term Loan, January 27, 2027 or the date that falls 12 months after the issuance of these warrants. As of December 31, 2022, the fair value of these 1.0% warrants was immaterial to our consolidated financial statements.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8, 2021, we extinguished Term Loan B for $120.9 million, consisting of $100.0 million principal balance and $20.9 million of accrued interest, including paid-in-kind interest, and fees. We also amortized the remaining unamortized discount and debt and warrant issuance costs, all of which resulted in a loss on early extinguishment of debt of $15.9 million that was recognized in our consolidated statements of operations and comprehensive loss for the year ended December 31, 2021</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October 2021, upon maturity of our $100 million term loan, or Term Loan A, we repaid the outstanding principal balance of $98.8 million and accrued interest and fees of $0.2 million. We had no letters of credit outstanding or amounts drawn against the revolving loan on the date of the termination.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carrying value of long-term debt and warrants as of December 31, 2022 and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4"/>
                <w:szCs w:val="14"/>
                <w:b w:val="1"/>
                <w:bCs w:val="1"/>
                <w:color w:val="auto"/>
              </w:rPr>
              <w:t>2021</w:t>
            </w: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debt issuance costs and warrants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primarily have operating leases for offices that support our corporate, claims and customer service functions. We determine if an arrangement is a lease at inception by evaluating whether the arrangement conveys the right to use an identified asset and whether we obtain substantially all of the economic benefits from and have the ability to direct the use of the asset. Our lease agreements do not contain any material residual value guarantees or material restrictive covenants.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lease right-of-use assets and corresponding operating lease liabilities are recognized upon the commencement date based primarily on the present value of lease payments over the lease term. We use the implicit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adjusted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balance sheets information related to leases at December 31,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02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right-of-use liabilities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02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4.3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lease liabilities are included in other liabilities and operating lease right-of-use assets are included in other assets in our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years ended December 31, 2022 and 2021,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60" w:type="dxa"/>
            <w:vAlign w:val="bottom"/>
            <w:gridSpan w:val="3"/>
          </w:tcPr>
          <w:p>
            <w:pPr>
              <w:jc w:val="center"/>
              <w:ind w:left="382"/>
              <w:spacing w:after="0"/>
              <w:rPr>
                <w:sz w:val="20"/>
                <w:szCs w:val="20"/>
                <w:color w:val="auto"/>
              </w:rPr>
            </w:pPr>
            <w:r>
              <w:rPr>
                <w:rFonts w:ascii="Arial" w:cs="Arial" w:eastAsia="Arial" w:hAnsi="Arial"/>
                <w:sz w:val="14"/>
                <w:szCs w:val="14"/>
                <w:b w:val="1"/>
                <w:bCs w:val="1"/>
                <w:color w:val="auto"/>
                <w:w w:val="92"/>
              </w:rPr>
              <w:t>Years Ended December 31,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20" w:type="dxa"/>
            <w:vAlign w:val="bottom"/>
            <w:vMerge w:val="restart"/>
          </w:tcPr>
          <w:p>
            <w:pPr>
              <w:ind w:left="20"/>
              <w:spacing w:after="0"/>
              <w:rPr>
                <w:sz w:val="20"/>
                <w:szCs w:val="20"/>
                <w:color w:val="auto"/>
              </w:rPr>
            </w:pPr>
            <w:r>
              <w:rPr>
                <w:rFonts w:ascii="Arial" w:cs="Arial" w:eastAsia="Arial" w:hAnsi="Arial"/>
                <w:sz w:val="18"/>
                <w:szCs w:val="18"/>
                <w:color w:val="auto"/>
              </w:rPr>
              <w:t>Lease cost components:</w:t>
            </w:r>
          </w:p>
        </w:tc>
        <w:tc>
          <w:tcPr>
            <w:tcW w:w="9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93"/>
              </w:rPr>
              <w:t>(dollars in millions)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costs</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w:t>
            </w:r>
          </w:p>
        </w:tc>
        <w:tc>
          <w:tcPr>
            <w:tcW w:w="118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7"/>
        </w:trPr>
        <w:tc>
          <w:tcPr>
            <w:tcW w:w="8020" w:type="dxa"/>
            <w:vAlign w:val="bottom"/>
          </w:tcPr>
          <w:p>
            <w:pPr>
              <w:spacing w:after="0"/>
              <w:rPr>
                <w:sz w:val="20"/>
                <w:szCs w:val="20"/>
                <w:color w:val="auto"/>
              </w:rPr>
            </w:pPr>
            <w:r>
              <w:rPr>
                <w:rFonts w:ascii="Arial" w:cs="Arial" w:eastAsia="Arial" w:hAnsi="Arial"/>
                <w:sz w:val="18"/>
                <w:szCs w:val="18"/>
                <w:color w:val="auto"/>
              </w:rPr>
              <w:t>______________</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(1) Variable lease expense and short-term lease expense recognized during the years ended December 31, 2022 and 2021 were not material.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for the years ended December 31, 2022 and 2021, are as follows:</w:t>
      </w:r>
    </w:p>
    <w:p>
      <w:pPr>
        <w:spacing w:after="0" w:line="217" w:lineRule="exact"/>
        <w:rPr>
          <w:sz w:val="20"/>
          <w:szCs w:val="20"/>
          <w:color w:val="auto"/>
        </w:rPr>
      </w:pPr>
    </w:p>
    <w:p>
      <w:pPr>
        <w:ind w:left="8660"/>
        <w:spacing w:after="0"/>
        <w:tabs>
          <w:tab w:leader="none" w:pos="10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40640</wp:posOffset>
            </wp:positionV>
            <wp:extent cx="20485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2"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8020" w:val="left"/>
          <w:tab w:leader="none" w:pos="9260" w:val="left"/>
          <w:tab w:leader="none" w:pos="9680" w:val="left"/>
          <w:tab w:leader="none" w:pos="10920" w:val="left"/>
        </w:tabs>
        <w:rPr>
          <w:sz w:val="20"/>
          <w:szCs w:val="20"/>
          <w:color w:val="auto"/>
        </w:rPr>
      </w:pPr>
      <w:r>
        <w:rPr>
          <w:rFonts w:ascii="Arial" w:cs="Arial" w:eastAsia="Arial" w:hAnsi="Arial"/>
          <w:sz w:val="18"/>
          <w:szCs w:val="18"/>
          <w:color w:val="auto"/>
        </w:rPr>
        <w:t>Operating cash flows paid for amounts included in the measurement of lease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w:t>
        <w:tab/>
        <w:t>$</w:t>
      </w:r>
      <w:r>
        <w:rPr>
          <w:sz w:val="20"/>
          <w:szCs w:val="20"/>
          <w:color w:val="auto"/>
        </w:rPr>
        <w:tab/>
      </w:r>
      <w:r>
        <w:rPr>
          <w:rFonts w:ascii="Arial" w:cs="Arial" w:eastAsia="Arial" w:hAnsi="Arial"/>
          <w:sz w:val="15"/>
          <w:szCs w:val="15"/>
          <w:color w:val="auto"/>
        </w:rPr>
        <w:t>3.8</w:t>
      </w:r>
    </w:p>
    <w:p>
      <w:pPr>
        <w:spacing w:after="0" w:line="2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2022, we reduced our square footage at one of our offices. The amendment triggered a remeasurement of the operating lease assets and liabilities at the modification date, resulting in a decrease of $0.9 million as of December 31, 2022. The modification also resulted in a $0.9 million gain for the year ended December 31, 2022. The gain is a contra-expense in general and administrative expenses on the consolidated statements of operations and comprehensive loss.</w:t>
      </w:r>
    </w:p>
    <w:p>
      <w:pPr>
        <w:spacing w:after="0" w:line="13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August 2022, we ceased using a portion of our corporate headquarters and extended the lease term on the remaining portion to December 31, 2027. The amendment triggered a change in estimate to the respective useful lives, which has been accounted for as a lease modification. The operating lease assets and liabilities were remeasured at the modification date, resulting in an increase of $1.4 million as of December 31, 2022.</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evaluation of our office space needs in 2021, we determined our Easton facility in Columbus, Ohio had no future economic benefit, so we determined the cease-use date occurred in December 2021. Accordingly, we accelerated the amortization of the remaining right-of-use asset and recognized $2.0 million of lease expense within general and administrative expenses in our consolidated statements of operations and comprehensive loss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also sublease certain office space, resulting in sublease income. Sublease income and the related assets and cash flows are not material to our consolidated financial statements as of and for the years ended December 31, 2022 and 2021. Sublease income is recognized as a reduction to operating lease expense in our consolidated statements of operations and comprehensive loss.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 average remaining lease term and weighted average operating lease discount rate, for the years ended December 31, 2022 and 2021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gridSpan w:val="2"/>
          </w:tcPr>
          <w:p>
            <w:pPr>
              <w:ind w:left="84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39"/>
        </w:trPr>
        <w:tc>
          <w:tcPr>
            <w:tcW w:w="77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of remaining operating lease term (years)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Weighted average operating lease discount rate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499"/>
        </w:trPr>
        <w:tc>
          <w:tcPr>
            <w:tcW w:w="8840" w:type="dxa"/>
            <w:vAlign w:val="bottom"/>
            <w:gridSpan w:val="2"/>
          </w:tcPr>
          <w:p>
            <w:pPr>
              <w:spacing w:after="0"/>
              <w:rPr>
                <w:sz w:val="20"/>
                <w:szCs w:val="20"/>
                <w:color w:val="auto"/>
              </w:rPr>
            </w:pPr>
            <w:r>
              <w:rPr>
                <w:rFonts w:ascii="Arial" w:cs="Arial" w:eastAsia="Arial" w:hAnsi="Arial"/>
                <w:sz w:val="18"/>
                <w:szCs w:val="18"/>
                <w:color w:val="auto"/>
              </w:rPr>
              <w:t>Future lease payments as of December 31, 2022 were as follows: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4"/>
        </w:trPr>
        <w:tc>
          <w:tcPr>
            <w:tcW w:w="7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274"/>
              <w:spacing w:after="0"/>
              <w:rPr>
                <w:sz w:val="20"/>
                <w:szCs w:val="20"/>
                <w:color w:val="auto"/>
              </w:rPr>
            </w:pPr>
            <w:r>
              <w:rPr>
                <w:rFonts w:ascii="Arial" w:cs="Arial" w:eastAsia="Arial" w:hAnsi="Arial"/>
                <w:sz w:val="14"/>
                <w:szCs w:val="14"/>
                <w:b w:val="1"/>
                <w:bCs w:val="1"/>
                <w:color w:val="auto"/>
              </w:rPr>
              <w:t>Operating Leases</w:t>
            </w:r>
          </w:p>
        </w:tc>
      </w:tr>
      <w:tr>
        <w:trPr>
          <w:trHeight w:val="26"/>
        </w:trPr>
        <w:tc>
          <w:tcPr>
            <w:tcW w:w="7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8"/>
        </w:trPr>
        <w:tc>
          <w:tcPr>
            <w:tcW w:w="7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214"/>
              <w:spacing w:after="0"/>
              <w:rPr>
                <w:sz w:val="20"/>
                <w:szCs w:val="20"/>
                <w:color w:val="auto"/>
              </w:rPr>
            </w:pPr>
            <w:r>
              <w:rPr>
                <w:rFonts w:ascii="Arial" w:cs="Arial" w:eastAsia="Arial" w:hAnsi="Arial"/>
                <w:sz w:val="14"/>
                <w:szCs w:val="14"/>
                <w:b w:val="1"/>
                <w:bCs w:val="1"/>
                <w:color w:val="auto"/>
              </w:rPr>
              <w:t>(dollars in millions)</w:t>
            </w:r>
          </w:p>
        </w:tc>
      </w:tr>
      <w:tr>
        <w:trPr>
          <w:trHeight w:val="23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2026</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and thereafter</w:t>
            </w: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future lease payments</w:t>
            </w:r>
          </w:p>
        </w:tc>
        <w:tc>
          <w:tcPr>
            <w:tcW w:w="6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8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had no income tax expense (benefit) for the years ended December 31, 2022,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120" w:type="dxa"/>
            <w:vAlign w:val="bottom"/>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income tax expense (benefit)</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income tax expense (benefit) differed from the amounts computed by applying the statutory U.S. federal income tax rate of 21% in 2022, 2021 and 2020 to pretax income as a result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gridSpan w:val="2"/>
          </w:tcPr>
          <w:p>
            <w:pPr>
              <w:jc w:val="right"/>
              <w:ind w:right="101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Statutory U.S. federal income tax benefit</w:t>
            </w: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line="20" w:lineRule="exact"/>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(62.5)</w:t>
            </w:r>
          </w:p>
        </w:tc>
        <w:tc>
          <w:tcPr>
            <w:tcW w:w="4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(109.4)</w:t>
            </w:r>
          </w:p>
        </w:tc>
        <w:tc>
          <w:tcPr>
            <w:tcW w:w="20" w:type="dxa"/>
            <w:vAlign w:val="bottom"/>
            <w:tcBorders>
              <w:top w:val="single" w:sz="8" w:color="auto"/>
            </w:tcBorders>
          </w:tcPr>
          <w:p>
            <w:pPr>
              <w:spacing w:after="0"/>
              <w:rPr>
                <w:sz w:val="17"/>
                <w:szCs w:val="17"/>
                <w:color w:val="auto"/>
              </w:rPr>
            </w:pPr>
          </w:p>
        </w:tc>
        <w:tc>
          <w:tcPr>
            <w:tcW w:w="13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21.0 %</w:t>
            </w: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(76.2)</w:t>
            </w: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Warrants fair value adjustment</w:t>
            </w:r>
          </w:p>
        </w:tc>
        <w:tc>
          <w:tcPr>
            <w:tcW w:w="2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Nondeductible compensation</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to provision permanent adjustments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State net operating loss</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the tax effects of temporary differences that give rise to significant portions of the deferred tax assets and deferred tax liabilities at December 31, 2022 and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6"/>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 reserves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Nondeductible accruals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Disallowed interest carryforward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ceding commission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and warrant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Unrealized losses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State net operating loss carryforward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Gross deferred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260.8</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(322.3)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deferred tax assets, less 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Internally developed software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Deferred acquisition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above amounts were calculated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application of ASC 740 requires a company to evaluate the recoverability of deferred tax assets and to establish a valuation allowance if necessary to reduce the carrying value of the deferred tax asset to an amount which is more likely than not to be realized. Considerable judgment is required in determining whether a valuation allowance is necessary, and if so, the amount of such valuation allowance. In evaluating the need for a valuation allowance we include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Although lack of realization is not assured, we believe it is more likely than not that the deferred tax assets will not be realized. As such, a valuation allowance of $322.3 million has been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experienced an ownership change under Section 382 of the Internal Revenue Code, or the Code. Accordingly, use of a portion of our net operating losses, or NOLs, and tax credit carryforwards are subject to an annual limitation under Section 382 of the Code. We do not expect any of our deferred tax assets related to our NOLs or tax credit carryforwards to expire unutilized as a result of this limitation.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carryforwards related to NOLs and tax credits: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Carryforward with</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Expiration</w:t>
            </w: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Carryforward Indefinitely</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6"/>
                <w:szCs w:val="16"/>
                <w:color w:val="auto"/>
              </w:rPr>
            </w:pPr>
          </w:p>
        </w:tc>
        <w:tc>
          <w:tcPr>
            <w:tcW w:w="1880" w:type="dxa"/>
            <w:vAlign w:val="bottom"/>
          </w:tcPr>
          <w:p>
            <w:pPr>
              <w:jc w:val="right"/>
              <w:ind w:right="215"/>
              <w:spacing w:after="0"/>
              <w:rPr>
                <w:sz w:val="20"/>
                <w:szCs w:val="20"/>
                <w:color w:val="auto"/>
              </w:rPr>
            </w:pPr>
            <w:r>
              <w:rPr>
                <w:rFonts w:ascii="Arial" w:cs="Arial" w:eastAsia="Arial" w:hAnsi="Arial"/>
                <w:sz w:val="14"/>
                <w:szCs w:val="14"/>
                <w:b w:val="1"/>
                <w:bCs w:val="1"/>
                <w:color w:val="auto"/>
              </w:rPr>
              <w:t>Years of Expiration</w:t>
            </w:r>
          </w:p>
        </w:tc>
      </w:tr>
      <w:tr>
        <w:trPr>
          <w:trHeight w:val="39"/>
        </w:trPr>
        <w:tc>
          <w:tcPr>
            <w:tcW w:w="3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3"/>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184"/>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(dollars in millions)</w:t>
            </w: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9"/>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1,268.9</w:t>
            </w:r>
          </w:p>
        </w:tc>
        <w:tc>
          <w:tcPr>
            <w:tcW w:w="188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2035 - 2042</w:t>
            </w: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State (gross, apportioned)</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294.1</w:t>
            </w:r>
          </w:p>
        </w:tc>
        <w:tc>
          <w:tcPr>
            <w:tcW w:w="1880" w:type="dxa"/>
            <w:vAlign w:val="bottom"/>
          </w:tcPr>
          <w:p>
            <w:pPr>
              <w:jc w:val="right"/>
              <w:ind w:right="815"/>
              <w:spacing w:after="0"/>
              <w:rPr>
                <w:sz w:val="20"/>
                <w:szCs w:val="20"/>
                <w:color w:val="auto"/>
              </w:rPr>
            </w:pPr>
            <w:r>
              <w:rPr>
                <w:rFonts w:ascii="Arial" w:cs="Arial" w:eastAsia="Arial" w:hAnsi="Arial"/>
                <w:sz w:val="18"/>
                <w:szCs w:val="18"/>
                <w:color w:val="auto"/>
                <w:w w:val="99"/>
              </w:rPr>
              <w:t>2024 - 2042</w:t>
            </w: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8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2036 - 2038</w:t>
            </w: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1,563.9</w:t>
            </w:r>
          </w:p>
        </w:tc>
        <w:tc>
          <w:tcPr>
            <w:tcW w:w="1880" w:type="dxa"/>
            <w:vAlign w:val="bottom"/>
          </w:tcPr>
          <w:p>
            <w:pPr>
              <w:spacing w:after="0"/>
              <w:rPr>
                <w:sz w:val="19"/>
                <w:szCs w:val="19"/>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color w:val="auto"/>
        </w:rPr>
        <w:t>We file a consolidated federal income tax return and certain state income tax returns. Tax years 2019 and forward are still subject to U.S. federal examinations. The federal statute of limitations is generally three years. Currently all state income and franchise tax returns are within each taxing authorities statute of limitations and are subject to examination.</w:t>
      </w:r>
    </w:p>
    <w:p>
      <w:pPr>
        <w:spacing w:after="0" w:line="12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COSTS</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November 2022, we initiated a company-wide involuntary workforce reduction as part of our efforts to improve efficiency and operating costs, and prioritize resources to further strengthen our pricing and underwriting foundation and the continued development of our embedded products, or November 2022 Restructuring. As a result of the November 2022 Restructuring, we incurred severance, benefits, share-based compensation, employee compensation expense dependent upon continuous employment for certain employees, and related employee costs, or Employee costs. In 2023, we expect to incur approximately $6.6 million of employee compensation expense, dependent upon continuous employment for certain employees, to be recognized ratably through the fourth quarter of 2023. We expect a cash expenditure related to these employee compensation costs in the first quarter of 2024. We do not expect to incur any material additional expenditures related to real estate exit costs or software costs in future periods.</w:t>
      </w:r>
    </w:p>
    <w:p>
      <w:pPr>
        <w:spacing w:after="0" w:line="11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January 2022, we instituted an organizational realignment, which included an involuntary workforce reduction, due to inflation and loss cost trends and to further drive efficiency and increased focus on our strategic priorities, or January 2022 Restructuring. As a result of the January 2022 Restructuring, we incurred Employee costs and accelerated expense for software that no longer has economic benefit. Additionally, we incurred real estate exit costs related to certain floors of our corporate headquarters in Columbus, Ohio that we ceased using. To the extent we had no intent or ability to sublease the space, we accelerated the amortization of the related right-of-use assets, leasehold improvements and furniture and fixtures. For subleased space, we recognized sublease income as an offset to amortization of the right-of-use asset. As of December 31, 2022, we do not expect to incur any material additional expenditures in future periods related to the January 2022 Restructuring.</w:t>
      </w:r>
    </w:p>
    <w:p>
      <w:pPr>
        <w:spacing w:after="0" w:line="12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displays restructuring costs recorded in general and administrative expenses on the consolidated statements of operations and comprehensive loss: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Restructuring costs:</w:t>
            </w: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Employee costs</w:t>
            </w: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Real estate exit costs</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Software costs</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60" w:type="dxa"/>
            <w:vAlign w:val="bottom"/>
          </w:tcPr>
          <w:p>
            <w:pPr>
              <w:ind w:left="240"/>
              <w:spacing w:after="0"/>
              <w:rPr>
                <w:sz w:val="20"/>
                <w:szCs w:val="20"/>
                <w:color w:val="auto"/>
              </w:rPr>
            </w:pPr>
            <w:r>
              <w:rPr>
                <w:rFonts w:ascii="Arial" w:cs="Arial" w:eastAsia="Arial" w:hAnsi="Arial"/>
                <w:sz w:val="18"/>
                <w:szCs w:val="18"/>
                <w:color w:val="auto"/>
              </w:rPr>
              <w:t>Total restructuring costs</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a rollforward of the accrual for restructuring costs recorded in other liabilities on the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Employee costs</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Software costs</w:t>
            </w:r>
          </w:p>
        </w:tc>
        <w:tc>
          <w:tcPr>
            <w:tcW w:w="24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 liability</w:t>
            </w:r>
          </w:p>
        </w:tc>
        <w:tc>
          <w:tcPr>
            <w:tcW w:w="0" w:type="dxa"/>
            <w:vAlign w:val="bottom"/>
          </w:tcPr>
          <w:p>
            <w:pPr>
              <w:spacing w:after="0"/>
              <w:rPr>
                <w:sz w:val="1"/>
                <w:szCs w:val="1"/>
                <w:color w:val="auto"/>
              </w:rPr>
            </w:pPr>
          </w:p>
        </w:tc>
      </w:tr>
      <w:tr>
        <w:trPr>
          <w:trHeight w:val="39"/>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Restructuring activity:</w:t>
            </w: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Restructuring liability as of December 31, 2021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Expense incurred</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3"/>
        </w:trPr>
        <w:tc>
          <w:tcPr>
            <w:tcW w:w="6360" w:type="dxa"/>
            <w:vAlign w:val="bottom"/>
          </w:tcPr>
          <w:p>
            <w:pPr>
              <w:ind w:left="240"/>
              <w:spacing w:after="0"/>
              <w:rPr>
                <w:sz w:val="20"/>
                <w:szCs w:val="20"/>
                <w:color w:val="auto"/>
              </w:rPr>
            </w:pPr>
            <w:r>
              <w:rPr>
                <w:rFonts w:ascii="Arial" w:cs="Arial" w:eastAsia="Arial" w:hAnsi="Arial"/>
                <w:sz w:val="18"/>
                <w:szCs w:val="18"/>
                <w:color w:val="auto"/>
              </w:rPr>
              <w:t>Restructuring liability as of December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August 2022, an authorized subcommittee of our board of directors approved a reverse stock split of our Class A and Class B common stock at a ratio of 1-for-18, which became effective on August 12, 2022. Accordingly, all common stock, equity award, warrant, and per share amounts have been adjusted to reflect the reverse stock split for all prior periods presented. Our total authorized shares consist of 1,000.0 million of Class A common stock, 269.0 million shares of Class B common stock and 100.0 million shares of preferred stock. All classes of stock have a par value of $0.0001 per share. For additional information related to the reverse stock split, see Note 2, “Basis of Presentation and Significant Accounting Policies.”</w:t>
      </w:r>
    </w:p>
    <w:p>
      <w:pPr>
        <w:spacing w:after="0" w:line="1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2022, the Company has issued and outstanding: 9.2 million shares of Class A common stock, 5.0 million shares of Class B common stock, and 14.1 million shares of preferred stock that have a redemption value of $126.5 million.</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October 2021, we issued redeemable convertible preferred stock to Carvana pursuant to the Investment Agreement. We received $126.5 million of gross proceeds from the issuance of 14.1 million shares of redeemable convertible preferred stock designated as the Series A Preferred Stock and issued Carvana eight tranches of warrants to purchase shares of the Company’s Class A common stock. Further details on the warrants are discussed in Note 12, "Share-Based Compensation." In connection with the Investment Agreement, we incurred issuance costs of $19.6 million, $9.0 million of which were contingent upon the success of the Investment Agreement as measured by achievement of certain warrant vesting milestones. We allocated the issuance costs between the preferred stock and the warrants based on their relative fair values. The warrants are recognized on a pro-rata basis considering Carvana’s progress toward achieving the milestones, and the allocated issuance costs are reclassified from other assets to contra-equity on that same pro-rata basis. As of December 31, 2022, issuance costs were recognized in our consolidated balance sheets as follows: $14.5 million as contra-redeemable convertible preferred stock; $2.7 million as contra-additional paid-in capital; and $2.4 million as other assets. The carrying value of our preferred stock was $112.0 million as of December 31, 2022.</w:t>
      </w:r>
    </w:p>
    <w:p>
      <w:pPr>
        <w:spacing w:after="0" w:line="131" w:lineRule="exact"/>
        <w:rPr>
          <w:sz w:val="20"/>
          <w:szCs w:val="20"/>
          <w:color w:val="auto"/>
        </w:rPr>
      </w:pPr>
    </w:p>
    <w:p>
      <w:pPr>
        <w:ind w:right="180"/>
        <w:spacing w:after="0" w:line="396" w:lineRule="auto"/>
        <w:rPr>
          <w:sz w:val="20"/>
          <w:szCs w:val="20"/>
          <w:color w:val="auto"/>
        </w:rPr>
      </w:pPr>
      <w:r>
        <w:rPr>
          <w:rFonts w:ascii="Arial" w:cs="Arial" w:eastAsia="Arial" w:hAnsi="Arial"/>
          <w:sz w:val="16"/>
          <w:szCs w:val="16"/>
          <w:color w:val="auto"/>
        </w:rPr>
        <w:t>In October 2021, our board of directors approved the retirement of 0.3 million shares of Class A common stock that were held in treasury at $0.8 million. In October 2020, we completed our IPO, which resulted in the issuance and sale of 1.3 million shares of Class A common stock at the IPO price of</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$486.00. Concurrently, we issued and sold 1.0 million shares of our Class A common stock in private placements. We received net proceeds of $1.1 billion after deducting certain underwriting discounts and commissions and other offering costs of $57.5 million. All shares of our common stock and redeemable convertible preferred stock outstanding immediately prior to our IPO were converted into shares of our Class B common stock, and all warrants were exercised into shares of Class B common stock.</w:t>
      </w:r>
    </w:p>
    <w:p>
      <w:pPr>
        <w:spacing w:after="0" w:line="13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voting, dividend and liquidation rights of the holders of our Class A and Class B common stock are subject to and qualified by the rights, powers, and preferences of the holders of the preferred stock. Other rights, privileges, and preferences of our capital stock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—Class A and Class B common stock are entitled to the same dividend rights. We are not permitted to declare, pay, or set aside any dividends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any other class or series of capital stock unless the holders of the preferred stock then outstanding first receive, or simultaneously receive, a dividend.</w:t>
      </w:r>
    </w:p>
    <w:p>
      <w:pPr>
        <w:spacing w:after="0" w:line="13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Beginning after the fifth anniversary of the Integrated Platform becoming available to customers, Series A Preferred Stockholders are entitled to receive, when, as and if declared by the board of directors, a dividend at an annual rate of 5% of the liquidation preference per share of Series A Preferred Stock, if our 90-day volume-weighted average price, or VWAP, per share of Class A common stock is below the conversion price at that time.</w:t>
      </w:r>
    </w:p>
    <w:p>
      <w:pPr>
        <w:spacing w:after="0" w:line="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—Our Class B common stock has ten votes per share and our Class A common stock has one vote per share. Holders of preferred stock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together with the holders of Class A common stock and Class B common stock, on an as-converted basis on all matters submitted to a vote of the holders of Class A common stock and Class B common stock.</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Liquidation Preferences</w:t>
      </w:r>
      <w:r>
        <w:rPr>
          <w:rFonts w:ascii="Arial" w:cs="Arial" w:eastAsia="Arial" w:hAnsi="Arial"/>
          <w:sz w:val="16"/>
          <w:szCs w:val="16"/>
          <w:color w:val="auto"/>
        </w:rPr>
        <w:t>—In the event of any voluntary or involuntary liquidation, dissolution, or winding up of our business, after payment or provision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payment of the debts and other liabilities of the Company, the holders of Series A Preferred Stock are entitled to receive, before any distribution out of the assets of the Company may be made to or set aside for the holders of any common stock, an amount per share equal to the greater of (i) $9.00 per share plus the amount of any accrued but unpaid dividends thereon as of such date and (ii) the amount such preferred stockholders would have received had they, immediately prior to such an event, converted such shares of Series A Preferred Stock into Class A common stock. Thereafter, holders of Class A and Class B common stock are entitled to any remaining proceeds on a pro-rata basis. Class A and Class B common stock are entitled to the same liquidation rights.</w:t>
      </w:r>
    </w:p>
    <w:p>
      <w:pPr>
        <w:spacing w:after="0" w:line="11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Conversion and Transfer</w:t>
      </w:r>
      <w:r>
        <w:rPr>
          <w:rFonts w:ascii="Arial" w:cs="Arial" w:eastAsia="Arial" w:hAnsi="Arial"/>
          <w:sz w:val="18"/>
          <w:szCs w:val="18"/>
          <w:color w:val="auto"/>
        </w:rPr>
        <w:t>—Each share of Class B common stock is convertible at any time into one share of Class A common stock. Future transfers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Class B common stock will generally result in those shares converting into shares of our Class A common stock, subject to limited exceptions, such as certain transfers effected for tax or estate planning purposes.</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Series A Preferred Stock shall be convertible, at the option of the holder thereof, at any time, or from time to time, into shares of Class A common stock at a conversion rate equal to the liquidation preference divided by the conversion price. As of December 31, 2022, the conversion price was $162.00 per share and the Series A Preferred Stock was convertible into 0.8 million shares of Class A common stock. To the extent that such conversion would cause the holder to hold in excess of 9.9% of the voting stock, such conversion would be subject to approval from (a) the Delaware Insurance Commissioner and (b) the Ohio Director of Insurance.</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Redemption and Balance Sheet Classification</w:t>
      </w:r>
      <w:r>
        <w:rPr>
          <w:rFonts w:ascii="Arial" w:cs="Arial" w:eastAsia="Arial" w:hAnsi="Arial"/>
          <w:sz w:val="18"/>
          <w:szCs w:val="18"/>
          <w:color w:val="auto"/>
        </w:rPr>
        <w:t>—The redeemable convertible preferred stock is classified as mezzanine equity because while it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mandatorily redeemable, it will become convertible or redeemable at the option of the preferred stockholder in connection with any change of control of the Company, which is considered not solely within our control.</w:t>
      </w:r>
    </w:p>
    <w:p>
      <w:pPr>
        <w:spacing w:after="0" w:line="12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August 2022, an authorized subcommittee of our board of directors approved a reverse stock split of our Class A and Class B common stock at a ratio of 1-for-18, which became effective on August 12, 2022. Accordingly, all stock, equity award, warrant, and per share amounts have been adjusted to reflect the reverse stock split for all prior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7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part of the Investment Agreement discussed in Note 11, “Capital Stock,” we issued Carvana eight tranches of warrants, comprised of three tranches of “short-term warrants” and five tranches of “long-term warrants.” However, the exercisability of certain tranches are subject to Carvana’s decision to exercise certain other tranches. If Carvana exercises short-term tranches, then long-term tranche 1 warrants are cancelled and the remaining long-term tranches would be reduced such that Carvana will have the opportunity to purchase a maximum of 7.2 million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December 31, 2022,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progress toward completing the Integrated Platform, and policies originating through the Integrated Platform. In September 2022, the Integrated Platform launched and as a result, tranche 1 of our short-term warrants vested. There were no exercises upon vesting and all warrants remain outstanding. All of these warrants are out-of-the-money and therefore have no intrinsic value as of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warrant compensation expense recorded in the consolidated statements of operations and comprehensive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63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63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39"/>
        </w:trPr>
        <w:tc>
          <w:tcPr>
            <w:tcW w:w="63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6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insurance (benefit)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Pr>
          <w:p>
            <w:pPr>
              <w:ind w:left="240"/>
              <w:spacing w:after="0"/>
              <w:rPr>
                <w:sz w:val="20"/>
                <w:szCs w:val="20"/>
                <w:color w:val="auto"/>
              </w:rPr>
            </w:pPr>
            <w:r>
              <w:rPr>
                <w:rFonts w:ascii="Arial" w:cs="Arial" w:eastAsia="Arial" w:hAnsi="Arial"/>
                <w:sz w:val="18"/>
                <w:szCs w:val="18"/>
                <w:color w:val="auto"/>
              </w:rPr>
              <w:t>Total warrant compensation expense</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short-term warrants will expire September 1, 2025 and the long-term warrants will expire September 1, 2027. The following table provides other key terms of the warrants: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 Issued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Grant Date Fair Value</w:t>
            </w:r>
          </w:p>
        </w:tc>
        <w:tc>
          <w:tcPr>
            <w:tcW w:w="3740" w:type="dxa"/>
            <w:vAlign w:val="bottom"/>
          </w:tcPr>
          <w:p>
            <w:pPr>
              <w:spacing w:after="0"/>
              <w:rPr>
                <w:sz w:val="14"/>
                <w:szCs w:val="14"/>
                <w:color w:val="auto"/>
              </w:rPr>
            </w:pPr>
          </w:p>
        </w:tc>
      </w:tr>
      <w:tr>
        <w:trPr>
          <w:trHeight w:val="200"/>
        </w:trPr>
        <w:tc>
          <w:tcPr>
            <w:tcW w:w="2920" w:type="dxa"/>
            <w:vAlign w:val="bottom"/>
            <w:gridSpan w:val="2"/>
          </w:tcPr>
          <w:p>
            <w:pPr>
              <w:ind w:left="112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3740" w:type="dxa"/>
            <w:vAlign w:val="bottom"/>
          </w:tcPr>
          <w:p>
            <w:pPr>
              <w:ind w:left="1320"/>
              <w:spacing w:after="0"/>
              <w:rPr>
                <w:sz w:val="20"/>
                <w:szCs w:val="20"/>
                <w:color w:val="auto"/>
              </w:rPr>
            </w:pPr>
            <w:r>
              <w:rPr>
                <w:rFonts w:ascii="Arial" w:cs="Arial" w:eastAsia="Arial" w:hAnsi="Arial"/>
                <w:sz w:val="14"/>
                <w:szCs w:val="14"/>
                <w:b w:val="1"/>
                <w:bCs w:val="1"/>
                <w:color w:val="auto"/>
              </w:rPr>
              <w:t>Vesting Condition</w:t>
            </w:r>
          </w:p>
        </w:tc>
      </w:tr>
      <w:tr>
        <w:trPr>
          <w:trHeight w:val="39"/>
        </w:trPr>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43"/>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w w:val="92"/>
              </w:rPr>
              <w:t>Short-Term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Completing the Integrated Platform</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50,000 policy originations</w:t>
            </w: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75,000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Short-Term</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r>
      <w:tr>
        <w:trPr>
          <w:trHeight w:val="204"/>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50"/>
        </w:trPr>
        <w:tc>
          <w:tcPr>
            <w:tcW w:w="2920" w:type="dxa"/>
            <w:vAlign w:val="bottom"/>
            <w:tcBorders>
              <w:bottom w:val="single" w:sz="8" w:color="CCEEFF"/>
            </w:tcBorders>
            <w:gridSpan w:val="2"/>
            <w:shd w:val="clear" w:color="auto" w:fill="CCEEFF"/>
          </w:tcPr>
          <w:p>
            <w:pPr>
              <w:jc w:val="right"/>
              <w:ind w:right="2080"/>
              <w:spacing w:after="0"/>
              <w:rPr>
                <w:sz w:val="20"/>
                <w:szCs w:val="20"/>
                <w:color w:val="auto"/>
              </w:rPr>
            </w:pPr>
            <w:r>
              <w:rPr>
                <w:rFonts w:ascii="Arial" w:cs="Arial" w:eastAsia="Arial" w:hAnsi="Arial"/>
                <w:sz w:val="18"/>
                <w:szCs w:val="18"/>
                <w:color w:val="auto"/>
                <w:w w:val="93"/>
              </w:rPr>
              <w:t>Long-Term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100,000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300,000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Arial" w:cs="Arial" w:eastAsia="Arial" w:hAnsi="Arial"/>
                <w:sz w:val="18"/>
                <w:szCs w:val="18"/>
                <w:color w:val="auto"/>
              </w:rPr>
              <w:t>Tranche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Arial" w:cs="Arial" w:eastAsia="Arial" w:hAnsi="Arial"/>
                <w:sz w:val="18"/>
                <w:szCs w:val="18"/>
                <w:color w:val="auto"/>
              </w:rPr>
              <w:t>Tranche 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500,000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fair value of the warrants is estimated on the date of grant using a Monte Carlo simulation with Geometric Brownian Motion that uses certain inputs, assumptions and estimates, as follows: expected term of five years, based on the contractual term of the warrants; risk-free interest rate of 0.9%, based on U.S. Constant Maturity Yield Curve over a similar term; dividend rate of 0.0%, based on our historical and expected future dividend payouts, which may be subject to change in the future; and volatility of 45%, based on historical and implied volatility of comparable publicly held companies, because we did not have sufficient company-specific volatility at the time of grant, and other factors.</w:t>
      </w:r>
    </w:p>
    <w:p>
      <w:pPr>
        <w:spacing w:after="0" w:line="1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2022, there was $21.1 million of unrecognized compensation cost related to the warrants. The remaining costs are expected to be recognized over a period of approximately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maintain an equity incentive plan, the 2020 Equity Incentive Plan, or the 2020 Plan, for the issuance and grant of equity awards (restricted stock, RSUs, and incentive and nonqualified stock options) to our officers, directors, employees and certain advisors. As of December 31, 2022, the number of shares authorized under the 2020 Plan was 3.2 million shares of Class A common stock, inclusive of available shares previously reserved for issuance under the 2015 Equity Incentive Plan, or the 2015 Plan, and subject to increase for awards previously issued under the 2015 Plan which are forfeited or lapse unexercised. In addition, this reserve will automatically increase on January 1 of each year, which commenced on January 1, 2021 and will end on (and including) January 1, 2030, in an amount equal to 4% of the total number of shares of capital stock outstanding on December 31 of the preceding year. However, the board of directors may act prior to January 1 of a given year to provide that the increase for such year will be a lesser number of shares of Class A common stock. The aggregate maximum number of shares of Class A common stock that may be issued pursuant to the exercise of incentive stock options is 6.7 million shares. As of December 31, 2022, the number of shares available for issuance under the 2020 Plan was 1.8 million.</w:t>
      </w:r>
    </w:p>
    <w:p>
      <w:pPr>
        <w:spacing w:after="0" w:line="11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August 2022, our board of directors approved the First Amendment to our 2020 Employee Stock Purchase Plan, or ESPP. The number of shares of Class A common stock initially reserved for issuance under the ESPP is limited to 0.3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 of the preceding year and (ii)</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0.4 million shares of Class A common stock. Our board of directors may act prior to January 1 of a given year to provide that the increase for such year will be a lesser number of shares of Class A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2015, the board of directors of the Company adopted the 2015 Plan under which the Company could grant equity awards (restricted stock, and incentive and nonqualified stock options) to its officers, directors, employees and certain advisors. In October 2020, this plan was superseded by the 2020 Plan and all reserved shares under the 2015 Plan were transferred to the 2020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displays employee share-based compensation expense recorded in the consolidated statements of operations and comprehensive loss: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94"/>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Other insurance (benefit) expense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development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total employee share-based compensation expense by type of award: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94"/>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Restricted stock unit expense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March 2020, a current investor completed a tender offer for common stock from vested shareholders, many of whom were employees or members of the board of directors. To encourage participation, the tender offer was made at a price in excess of the fair value of our common stock. As a result, we recognized $25.1 million of share-based compensation expense related to these tender offers during the year ended December 31, 2020.</w:t>
      </w:r>
    </w:p>
    <w:p>
      <w:pPr>
        <w:spacing w:after="0" w:line="11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As of December 31, 2022, there was $2.2 million and $40.2 million of unrecognized compensation cost related to unvested stock options and RSUs, respectively. The remaining costs are expected to be recognized over a period of four years for unvested stocks options and RSUs.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for the year ended December 31, 2022 and 2021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4"/>
                <w:szCs w:val="14"/>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4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Value per Share</w:t>
            </w:r>
          </w:p>
        </w:tc>
        <w:tc>
          <w:tcPr>
            <w:tcW w:w="220" w:type="dxa"/>
            <w:vAlign w:val="bottom"/>
          </w:tcPr>
          <w:p>
            <w:pPr>
              <w:spacing w:after="0"/>
              <w:rPr>
                <w:sz w:val="17"/>
                <w:szCs w:val="17"/>
                <w:color w:val="auto"/>
              </w:rPr>
            </w:pPr>
          </w:p>
        </w:tc>
        <w:tc>
          <w:tcPr>
            <w:tcW w:w="1420" w:type="dxa"/>
            <w:vAlign w:val="bottom"/>
          </w:tcPr>
          <w:p>
            <w:pPr>
              <w:jc w:val="right"/>
              <w:ind w:right="5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6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0" w:type="dxa"/>
            <w:vAlign w:val="bottom"/>
          </w:tcPr>
          <w:p>
            <w:pPr>
              <w:spacing w:after="0"/>
              <w:rPr>
                <w:sz w:val="1"/>
                <w:szCs w:val="1"/>
                <w:color w:val="auto"/>
              </w:rPr>
            </w:pPr>
          </w:p>
        </w:tc>
      </w:tr>
      <w:tr>
        <w:trPr>
          <w:trHeight w:val="238"/>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331.38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165.06</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325.62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184.32</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31.34</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135.25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81.38</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for the years ended December 31, 2022 and 2021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Weighted-Average</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44"/>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72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72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Exercise Price</w:t>
            </w:r>
          </w:p>
        </w:tc>
        <w:tc>
          <w:tcPr>
            <w:tcW w:w="1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Term (in Years)</w:t>
            </w:r>
          </w:p>
        </w:tc>
        <w:tc>
          <w:tcPr>
            <w:tcW w:w="140" w:type="dxa"/>
            <w:vAlign w:val="bottom"/>
          </w:tcPr>
          <w:p>
            <w:pPr>
              <w:spacing w:after="0"/>
              <w:rPr>
                <w:sz w:val="17"/>
                <w:szCs w:val="17"/>
                <w:color w:val="auto"/>
              </w:rPr>
            </w:pPr>
          </w:p>
        </w:tc>
        <w:tc>
          <w:tcPr>
            <w:tcW w:w="1420" w:type="dxa"/>
            <w:vAlign w:val="bottom"/>
          </w:tcPr>
          <w:p>
            <w:pPr>
              <w:jc w:val="right"/>
              <w:ind w:right="5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43.02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194.76</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30.24</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79.92</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42.48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21.42</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83.89</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options outstanding and exercisable at 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Options Outstanding and Exercisable</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Weighted-Average Exercise</w:t>
            </w:r>
          </w:p>
        </w:tc>
        <w:tc>
          <w:tcPr>
            <w:tcW w:w="1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7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Number of Shares</w:t>
            </w:r>
          </w:p>
        </w:tc>
        <w:tc>
          <w:tcPr>
            <w:tcW w:w="194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jc w:val="center"/>
              <w:ind w:right="421"/>
              <w:spacing w:after="0"/>
              <w:rPr>
                <w:sz w:val="20"/>
                <w:szCs w:val="20"/>
                <w:color w:val="auto"/>
              </w:rPr>
            </w:pPr>
            <w:r>
              <w:rPr>
                <w:rFonts w:ascii="Arial" w:cs="Arial" w:eastAsia="Arial" w:hAnsi="Arial"/>
                <w:sz w:val="14"/>
                <w:szCs w:val="14"/>
                <w:b w:val="1"/>
                <w:bCs w:val="1"/>
                <w:color w:val="auto"/>
                <w:w w:val="93"/>
              </w:rPr>
              <w:t>Price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194"/>
        </w:trPr>
        <w:tc>
          <w:tcPr>
            <w:tcW w:w="5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4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millions, except exercise price and term amounts)</w:t>
            </w:r>
          </w:p>
        </w:tc>
        <w:tc>
          <w:tcPr>
            <w:tcW w:w="0" w:type="dxa"/>
            <w:vAlign w:val="bottom"/>
          </w:tcPr>
          <w:p>
            <w:pPr>
              <w:spacing w:after="0"/>
              <w:rPr>
                <w:sz w:val="1"/>
                <w:szCs w:val="1"/>
                <w:color w:val="auto"/>
              </w:rPr>
            </w:pPr>
          </w:p>
        </w:tc>
      </w:tr>
      <w:tr>
        <w:trPr>
          <w:trHeight w:val="224"/>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Range of Exercise Prices:</w:t>
            </w:r>
          </w:p>
        </w:tc>
        <w:tc>
          <w:tcPr>
            <w:tcW w:w="1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$0.06 - $21.42</w:t>
            </w:r>
          </w:p>
        </w:tc>
        <w:tc>
          <w:tcPr>
            <w:tcW w:w="10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5.06</w:t>
            </w:r>
          </w:p>
        </w:tc>
        <w:tc>
          <w:tcPr>
            <w:tcW w:w="174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$21.42 - $130.50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0.1</w:t>
            </w:r>
          </w:p>
        </w:tc>
        <w:tc>
          <w:tcPr>
            <w:tcW w:w="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51.97</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$130.50 - $231.66</w:t>
            </w:r>
          </w:p>
        </w:tc>
        <w:tc>
          <w:tcPr>
            <w:tcW w:w="10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01"/>
              <w:spacing w:after="0"/>
              <w:rPr>
                <w:sz w:val="20"/>
                <w:szCs w:val="20"/>
                <w:color w:val="auto"/>
              </w:rPr>
            </w:pPr>
            <w:r>
              <w:rPr>
                <w:rFonts w:ascii="Arial" w:cs="Arial" w:eastAsia="Arial" w:hAnsi="Arial"/>
                <w:sz w:val="16"/>
                <w:szCs w:val="16"/>
                <w:color w:val="auto"/>
              </w:rPr>
              <w:t>150.11</w:t>
            </w:r>
          </w:p>
        </w:tc>
        <w:tc>
          <w:tcPr>
            <w:tcW w:w="1740" w:type="dxa"/>
            <w:vAlign w:val="bottom"/>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2020 Plan permits the optionee to early exercise options to obtain preferred tax treatment before the completion of the award’s requisite service or vesting period. If the employee terminates employment before the end of this period, the 2020 and 2015 Plans allow us to repurchase the shares, at our option, at the exercise price of the award. The repurchase feature is used to incentivize the employee to remain through the requisite service or vesting period to receive the full economic benefit of the award. As of December 31, 2022 and 2021, share repurchase obligations were immaterial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normal course of business, we enter into various agreements to purchase services, primarily data and information technology based services, that are enforceable and legally binding. Certain supply contracts contain penalty provisions for early termination, in addition to variable costs that are based on volume and usage. We do not expect to incur penalty payments under these provisions that would materially affect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by remaining maturity, future commitments related to other arrangements as of December 31,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Purchase</w:t>
            </w:r>
          </w:p>
        </w:tc>
      </w:tr>
      <w:tr>
        <w:trPr>
          <w:trHeight w:val="192"/>
        </w:trPr>
        <w:tc>
          <w:tcPr>
            <w:tcW w:w="9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0"/>
              </w:rPr>
              <w:t>Obligations</w:t>
            </w:r>
          </w:p>
        </w:tc>
      </w:tr>
      <w:tr>
        <w:trPr>
          <w:trHeight w:val="194"/>
        </w:trPr>
        <w:tc>
          <w:tcPr>
            <w:tcW w:w="9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(dollars in millions)</w:t>
            </w:r>
          </w:p>
        </w:tc>
      </w:tr>
      <w:tr>
        <w:trPr>
          <w:trHeight w:val="238"/>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3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9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spacing w:after="0" w:line="13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February 9, 2023, a purported class action complaint was filed against the Company’s subsidiary, Root Insurance Company, in the U.S. District Court for the Middle District of Louisiana (Case No. 3:23-cv-00089-JWD-RLB) by an individual on her behalf and further claiming to represent a putative class of insureds. The complaint alleges that the defendant breached its insurance contract and violated specific provisions of the Louisiana law in settling her vehicle total loss claim. The complaint seeks damages to include payment of alleged benefits owed under the policy, in addition to pre- and post-judgment interest, statutory penalties, attorneys fees and costs, and injunctive relief on behalf of the named plaintiff and the putative class members.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spacing w:after="0" w:line="11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alleges that the defendant breached its insurance contract and violated specific provisions of the Texas Prompt Payment of Claims Act for an alleged failure to include sales tax in total loss vehicle settlements. The complaint seeks damages to include payment of alleged benefits owed under the policy, in addition to pre- and post-judgment interest and attorneys fees on behalf of the named plaintiff and the putative class members. The defendant has moved to dismiss the claims set forth in the complaint.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spacing w:after="0" w:line="12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Exchange Act and Rule 10b-5 thereunder, breached their fiduciary duties and/or aided and abetted the breach of fiduciary duties, were unjustly enriched, wasted corporate assets, and are liable under Section 11(f) of the Securities Act, in connection with and following the Company’s IPO. The complaint seeks unspecified damages.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believes that the claims in this lawsuit are without merit and intends to defend against them vigorously. The lawsuit is currently stayed pending resolution of the motion to dismiss filed by the defendants in the below matter and, at this time, we are unable to predict the outcome and we cannot estimate the likelihood or magnitude of our possible or potential loss contingency.</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Securities Exchange Act of 1934, or the Exchange Act, and Rule 10b-5 thereunder, and of Sections 11 and 15 of the Securities Act of 1933, or the Securities Act, in connection with and following the Company’s IPO. The complaint seeks unspecified damages. The defendants have moved to dismiss the claims set forth in the complaint. The Company believes that the claims in this lawsuit are without merit and intends to defend against them vigorously. The lawsuit is in the early stages and, at this time, we are unable to predict the outcome and we cannot estimate the likelihood or magnitude of our possible or potential loss contingency.</w:t>
      </w:r>
    </w:p>
    <w:p>
      <w:pPr>
        <w:spacing w:after="0" w:line="1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contingently liable for possible future assessments under regulatory requirements for insolvencies and impairments of unaffiliated insurance companies.</w:t>
      </w:r>
    </w:p>
    <w:p>
      <w:pPr>
        <w:spacing w:after="0" w:line="11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 AND ACCUMULATED OTHER COMPREHENSIVE (LOSS) INCOME</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(loss) income, or AOCI, for the years ended December 31, 2022,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900" w:type="dxa"/>
            <w:vAlign w:val="bottom"/>
          </w:tcPr>
          <w:p>
            <w:pPr>
              <w:spacing w:after="0"/>
              <w:rPr>
                <w:sz w:val="16"/>
                <w:szCs w:val="16"/>
                <w:color w:val="auto"/>
              </w:rPr>
            </w:pPr>
          </w:p>
        </w:tc>
      </w:tr>
      <w:tr>
        <w:trPr>
          <w:trHeight w:val="26"/>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70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94"/>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(dollars in millions)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5"/>
              </w:rPr>
              <w:t>5.6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87"/>
              </w:rPr>
              <w:t>0.6</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533"/>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Arial" w:cs="Arial" w:eastAsia="Arial" w:hAnsi="Arial"/>
                <w:sz w:val="18"/>
                <w:szCs w:val="18"/>
                <w:color w:val="auto"/>
                <w:w w:val="87"/>
              </w:rPr>
              <w:t>5.3</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 (gains) on investments reclassified from AOCI to net loss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91"/>
              </w:rPr>
              <w:t>(2.4)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7"/>
              </w:rPr>
              <w:t>(0.3)</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3"/>
              <w:spacing w:after="0"/>
              <w:rPr>
                <w:sz w:val="20"/>
                <w:szCs w:val="20"/>
                <w:color w:val="auto"/>
              </w:rPr>
            </w:pPr>
            <w:r>
              <w:rPr>
                <w:rFonts w:ascii="Arial" w:cs="Arial" w:eastAsia="Arial" w:hAnsi="Arial"/>
                <w:sz w:val="18"/>
                <w:szCs w:val="18"/>
                <w:color w:val="auto"/>
                <w:w w:val="91"/>
              </w:rPr>
              <w:t>(5.2)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87"/>
              </w:rPr>
              <w:t>5.0</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433"/>
              <w:spacing w:after="0"/>
              <w:rPr>
                <w:sz w:val="20"/>
                <w:szCs w:val="20"/>
                <w:color w:val="auto"/>
              </w:rPr>
            </w:pPr>
            <w:r>
              <w:rPr>
                <w:rFonts w:ascii="Arial" w:cs="Arial" w:eastAsia="Arial" w:hAnsi="Arial"/>
                <w:sz w:val="18"/>
                <w:szCs w:val="18"/>
                <w:color w:val="auto"/>
                <w:w w:val="87"/>
              </w:rPr>
              <w:t>5.6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August 2022, an authorized subcommittee of our board of directors approved a reverse stock split of our Class A and Class B common stock at a ratio of 1-for-18, which became effective on August 12, 2022. Accordingly, all stock, equity award, warrant, and per share amounts have been adjusted to reflect the reverse stock split for all prior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displays the computation of basic and diluted loss per share for both Class A and Class B common stock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20" w:type="dxa"/>
            <w:vAlign w:val="bottom"/>
            <w:gridSpan w:val="6"/>
          </w:tcPr>
          <w:p>
            <w:pPr>
              <w:jc w:val="center"/>
              <w:ind w:left="37"/>
              <w:spacing w:after="0"/>
              <w:rPr>
                <w:sz w:val="20"/>
                <w:szCs w:val="20"/>
                <w:color w:val="auto"/>
              </w:rPr>
            </w:pPr>
            <w:r>
              <w:rPr>
                <w:rFonts w:ascii="Arial" w:cs="Arial" w:eastAsia="Arial" w:hAnsi="Arial"/>
                <w:sz w:val="14"/>
                <w:szCs w:val="14"/>
                <w:b w:val="1"/>
                <w:bCs w:val="1"/>
                <w:color w:val="auto"/>
                <w:w w:val="92"/>
              </w:rPr>
              <w:t>For the Years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20" w:type="dxa"/>
            <w:vAlign w:val="bottom"/>
            <w:gridSpan w:val="6"/>
          </w:tcPr>
          <w:p>
            <w:pPr>
              <w:jc w:val="center"/>
              <w:ind w:left="37"/>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Weighted-average common shares outstanding: basic and diluted (both Class A and B)</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common share: basic and diluted (both Class A and B)</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excluded the following potentially dilutive common stock equivalents, presented based on amounts outstanding at each year end, from the computation of diluted EPS attributable to common stockholders for the years indicated because including them would have had an anti-dilutive effect:</w:t>
      </w:r>
    </w:p>
    <w:p>
      <w:pPr>
        <w:spacing w:after="0" w:line="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94"/>
        </w:trPr>
        <w:tc>
          <w:tcPr>
            <w:tcW w:w="6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6"/>
                <w:szCs w:val="16"/>
                <w:color w:val="auto"/>
              </w:rPr>
            </w:pPr>
          </w:p>
        </w:tc>
      </w:tr>
      <w:tr>
        <w:trPr>
          <w:trHeight w:val="238"/>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Nonvested shares subject to repurchase</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
        </w:trPr>
        <w:tc>
          <w:tcPr>
            <w:tcW w:w="6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FINANCIAL INFORMATION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Root Insurance Company and Root Property &amp; Casualty, or our insurance subsidiaries, are required to prepare statutory financial statements in conformity with the basis of accounting practices prescribed or permitted by the Ohio DOI and Delaware DOI, respectively. Ohio and Delaware have adopted the NAIC Accounting Practices and Procedures Manual as the basis of their statutory accounting practices. Root Insurance Company and Root Property &amp; Casualty maintained statutory capital and surplus as of December 31, 2022 and 2021 and had statutory net loss for the years ended December 31, 2022, 2021 and 2020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Statutory Net Loss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Statutory Capital and Surplus</w:t>
            </w:r>
          </w:p>
        </w:tc>
      </w:tr>
      <w:tr>
        <w:trPr>
          <w:trHeight w:val="39"/>
        </w:trPr>
        <w:tc>
          <w:tcPr>
            <w:tcW w:w="30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30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39"/>
        </w:trPr>
        <w:tc>
          <w:tcPr>
            <w:tcW w:w="30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3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3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Root Insurance Company</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7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Root Property &amp; Casualty</w:t>
            </w:r>
          </w:p>
        </w:tc>
        <w:tc>
          <w:tcPr>
            <w:tcW w:w="9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89"/>
        </w:trPr>
        <w:tc>
          <w:tcPr>
            <w:tcW w:w="3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(156.5)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payment of dividends by Root Insurance Company and Root Property &amp; Casualty are subject to restrictions set forth in the insurance laws and regulations of the States of Ohio and Delaware, respectively, or the insurance laws. The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or distributions made in the preceding twelve months, exceeds the greater of (1) 10% of statutory-basis policyholders' surplus as of the prior December 31 or (2) the statutory-basis net income of the insurer as of the prior December 31. During the years ended December 31, 2022, 2021 and 2020, Root Insurance Company and Root Property &amp; Casualty did not pay any dividends.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insurance laws also require domestic insurers to seek prior regulatory approval for any dividend paid from other than earned surplus. Earned surplus is defined under the insurance laws as the amount equal to our unassigned funds as set forth in its most recent statutory financial statements, including net unrealized capital gains and losses. Additionally, following any dividend, an insurers policyholder surplus must be reasonable in relation to the insurer's outstanding liabilities and adequate for its financial needs.</w:t>
      </w:r>
    </w:p>
    <w:p>
      <w:pPr>
        <w:spacing w:after="0" w:line="1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NAIC Risk-Based Capital, or RBC, model law requires every insurer to calculate its total adjusted capital and RBC requirement to ensure insurer solvency. Regulatory guidelines provide for an insurance commissioner to intervene if the insurer experiences financial difficulty, as evidenced by a company's total adjusted capital falling below established relationships to required RBC. The model includes components for asset risk, underwriting risk, credit risk and other factors. The State of Ohio and the State of Delaware impose minimum RBC requirements that are developed by the NAIC. The formulas in the model for determining the amount of RBC specify various weighting factors that are applied to financial balances or various levels of activity based on the perceived degree of risk. Regulatory compliance is determined by a ratio of total adjusted capital to authorized control level RBC,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defined by the NAIC. Companies below specific trigger points or ratios are classified within certain levels, all of which require specified corrective action. The statutory surplus for Root Insurance Company and Root Property &amp; Casualty exceeded the minimum RBC requirements for the years ended December 31, 2022 and 2021.</w:t>
      </w:r>
    </w:p>
    <w:p>
      <w:pPr>
        <w:spacing w:after="0" w:line="126"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BREAKDOWN OF GROSS PREMIUMS WRITTEN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Gross premiums written by state is as follows for the years ended December 31, 2022,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For the Years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6"/>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189"/>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1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3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of Total</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State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11.7</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3.3</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4.9</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4.5</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Utah</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4.2</w:t>
            </w: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3.1</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South Carolina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1.6</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3.0</w:t>
            </w: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Indiana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460" w:type="dxa"/>
            <w:vAlign w:val="bottom"/>
            <w:gridSpan w:val="3"/>
          </w:tcPr>
          <w:p>
            <w:pPr>
              <w:jc w:val="right"/>
              <w:ind w:right="139"/>
              <w:spacing w:after="0"/>
              <w:rPr>
                <w:sz w:val="20"/>
                <w:szCs w:val="20"/>
                <w:color w:val="auto"/>
              </w:rPr>
            </w:pPr>
            <w:r>
              <w:rPr>
                <w:rFonts w:ascii="Arial" w:cs="Arial" w:eastAsia="Arial" w:hAnsi="Arial"/>
                <w:sz w:val="18"/>
                <w:szCs w:val="18"/>
                <w:color w:val="auto"/>
              </w:rPr>
              <w:t>2.9</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others states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4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39.3</w:t>
            </w:r>
          </w:p>
        </w:tc>
      </w:tr>
      <w:tr>
        <w:trPr>
          <w:trHeight w:val="223"/>
        </w:trPr>
        <w:tc>
          <w:tcPr>
            <w:tcW w:w="336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REVISION OF PREVIOUSLY ISSUED QUARTERLY FINANCIAL STATEMENTS (UNAUDITED)</w:t>
      </w:r>
    </w:p>
    <w:p>
      <w:pPr>
        <w:spacing w:after="0" w:line="17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Presented below are the revisions to the previously issued quarterly financial statements for immaterial errors in 2022 related to the purported misappropriation of funds by a former senior marketing employee as disclosed in Note 2, “Basis of Presentation and Summary of Significant Accounting Policies.” The following tables present the effect of the revision on the condensed consolidated statements of operations and comprehensive loss, condensed consolidated statements of redeemable convertible preferred stock and stockholders' equity and condensed 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74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94"/>
              </w:rPr>
              <w:t>Three Months Ended March 31, 2022 (unaudited)</w:t>
            </w:r>
          </w:p>
        </w:tc>
      </w:tr>
      <w:tr>
        <w:trPr>
          <w:trHeight w:val="26"/>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5"/>
              </w:rPr>
              <w:t>As Corrected</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w w:val="97"/>
              </w:rPr>
              <w:t>Condensed consolidated statement of operations and comprehensive loss data:</w:t>
            </w:r>
          </w:p>
        </w:tc>
        <w:tc>
          <w:tcPr>
            <w:tcW w:w="260" w:type="dxa"/>
            <w:vAlign w:val="bottom"/>
          </w:tcPr>
          <w:p>
            <w:pPr>
              <w:spacing w:after="0"/>
              <w:rPr>
                <w:sz w:val="18"/>
                <w:szCs w:val="18"/>
                <w:color w:val="auto"/>
              </w:rPr>
            </w:pPr>
          </w:p>
        </w:tc>
        <w:tc>
          <w:tcPr>
            <w:tcW w:w="3480" w:type="dxa"/>
            <w:vAlign w:val="bottom"/>
            <w:gridSpan w:val="4"/>
          </w:tcPr>
          <w:p>
            <w:pPr>
              <w:jc w:val="center"/>
              <w:ind w:left="895"/>
              <w:spacing w:after="0"/>
              <w:rPr>
                <w:sz w:val="20"/>
                <w:szCs w:val="20"/>
                <w:color w:val="auto"/>
              </w:rPr>
            </w:pPr>
            <w:r>
              <w:rPr>
                <w:rFonts w:ascii="Arial" w:cs="Arial" w:eastAsia="Arial" w:hAnsi="Arial"/>
                <w:sz w:val="14"/>
                <w:szCs w:val="14"/>
                <w:b w:val="1"/>
                <w:bCs w:val="1"/>
                <w:color w:val="auto"/>
                <w:w w:val="91"/>
              </w:rPr>
              <w:t>(in millions, except per share amounts)</w:t>
            </w:r>
          </w:p>
        </w:tc>
        <w:tc>
          <w:tcPr>
            <w:tcW w:w="1260" w:type="dxa"/>
            <w:vAlign w:val="bottom"/>
          </w:tcPr>
          <w:p>
            <w:pPr>
              <w:spacing w:after="0"/>
              <w:rPr>
                <w:sz w:val="18"/>
                <w:szCs w:val="18"/>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832"/>
              <w:spacing w:after="0"/>
              <w:rPr>
                <w:sz w:val="20"/>
                <w:szCs w:val="20"/>
                <w:color w:val="auto"/>
              </w:rPr>
            </w:pPr>
            <w:r>
              <w:rPr>
                <w:rFonts w:ascii="Arial" w:cs="Arial" w:eastAsia="Arial" w:hAnsi="Arial"/>
                <w:sz w:val="18"/>
                <w:szCs w:val="18"/>
                <w:color w:val="auto"/>
                <w:w w:val="87"/>
              </w:rPr>
              <w:t>0.6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380" w:type="dxa"/>
            <w:vAlign w:val="bottom"/>
          </w:tcPr>
          <w:p>
            <w:pPr>
              <w:jc w:val="center"/>
              <w:ind w:left="832"/>
              <w:spacing w:after="0"/>
              <w:rPr>
                <w:sz w:val="20"/>
                <w:szCs w:val="20"/>
                <w:color w:val="auto"/>
              </w:rPr>
            </w:pPr>
            <w:r>
              <w:rPr>
                <w:rFonts w:ascii="Arial" w:cs="Arial" w:eastAsia="Arial" w:hAnsi="Arial"/>
                <w:sz w:val="18"/>
                <w:szCs w:val="18"/>
                <w:color w:val="auto"/>
                <w:w w:val="87"/>
              </w:rPr>
              <w:t>0.5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156.3</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32"/>
              <w:spacing w:after="0"/>
              <w:rPr>
                <w:sz w:val="20"/>
                <w:szCs w:val="20"/>
                <w:color w:val="auto"/>
              </w:rPr>
            </w:pPr>
            <w:r>
              <w:rPr>
                <w:rFonts w:ascii="Arial" w:cs="Arial" w:eastAsia="Arial" w:hAnsi="Arial"/>
                <w:sz w:val="18"/>
                <w:szCs w:val="18"/>
                <w:color w:val="auto"/>
                <w:w w:val="87"/>
              </w:rPr>
              <w:t>1.1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Pr>
          <w:p>
            <w:pPr>
              <w:spacing w:after="0"/>
              <w:rPr>
                <w:sz w:val="19"/>
                <w:szCs w:val="19"/>
                <w:color w:val="auto"/>
              </w:rPr>
            </w:pPr>
          </w:p>
        </w:tc>
        <w:tc>
          <w:tcPr>
            <w:tcW w:w="1380" w:type="dxa"/>
            <w:vAlign w:val="bottom"/>
          </w:tcPr>
          <w:p>
            <w:pPr>
              <w:jc w:val="center"/>
              <w:ind w:left="812"/>
              <w:spacing w:after="0"/>
              <w:rPr>
                <w:sz w:val="20"/>
                <w:szCs w:val="20"/>
                <w:color w:val="auto"/>
              </w:rPr>
            </w:pPr>
            <w:r>
              <w:rPr>
                <w:rFonts w:ascii="Arial" w:cs="Arial" w:eastAsia="Arial" w:hAnsi="Arial"/>
                <w:sz w:val="18"/>
                <w:szCs w:val="18"/>
                <w:color w:val="auto"/>
                <w:w w:val="97"/>
              </w:rPr>
              <w:t>(1.1)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97"/>
              </w:rPr>
              <w:t>(1.1)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9"/>
                <w:szCs w:val="19"/>
                <w:color w:val="auto"/>
              </w:rPr>
            </w:pPr>
          </w:p>
        </w:tc>
        <w:tc>
          <w:tcPr>
            <w:tcW w:w="1380" w:type="dxa"/>
            <w:vAlign w:val="bottom"/>
          </w:tcPr>
          <w:p>
            <w:pPr>
              <w:jc w:val="center"/>
              <w:ind w:left="812"/>
              <w:spacing w:after="0"/>
              <w:rPr>
                <w:sz w:val="20"/>
                <w:szCs w:val="20"/>
                <w:color w:val="auto"/>
              </w:rPr>
            </w:pPr>
            <w:r>
              <w:rPr>
                <w:rFonts w:ascii="Arial" w:cs="Arial" w:eastAsia="Arial" w:hAnsi="Arial"/>
                <w:sz w:val="18"/>
                <w:szCs w:val="18"/>
                <w:color w:val="auto"/>
                <w:w w:val="97"/>
              </w:rPr>
              <w:t>(1.1)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97"/>
              </w:rPr>
              <w:t>(1.1)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176"/>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Weighted-average common shares outstanding: basic and diluted (both Class A and</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6240" w:type="dxa"/>
            <w:vAlign w:val="bottom"/>
          </w:tcPr>
          <w:p>
            <w:pPr>
              <w:ind w:left="180"/>
              <w:spacing w:after="0" w:line="243" w:lineRule="exact"/>
              <w:rPr>
                <w:sz w:val="20"/>
                <w:szCs w:val="20"/>
                <w:color w:val="auto"/>
              </w:rPr>
            </w:pPr>
            <w:r>
              <w:rPr>
                <w:rFonts w:ascii="Arial" w:cs="Arial" w:eastAsia="Arial" w:hAnsi="Arial"/>
                <w:sz w:val="28"/>
                <w:szCs w:val="28"/>
                <w:color w:val="auto"/>
                <w:vertAlign w:val="subscript"/>
              </w:rPr>
              <w:t>B)</w:t>
            </w:r>
            <w:r>
              <w:rPr>
                <w:rFonts w:ascii="Arial" w:cs="Arial" w:eastAsia="Arial" w:hAnsi="Arial"/>
                <w:sz w:val="11"/>
                <w:szCs w:val="11"/>
                <w:color w:val="auto"/>
              </w:rPr>
              <w:t>(1)</w:t>
            </w:r>
          </w:p>
        </w:tc>
        <w:tc>
          <w:tcPr>
            <w:tcW w:w="26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Loss per common share: basic and diluted (both Class A and B)</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ectPr>
          <w:pgSz w:w="11900" w:h="16838" w:orient="portrait"/>
          <w:cols w:equalWidth="0" w:num="1">
            <w:col w:w="11240"/>
          </w:cols>
          <w:pgMar w:left="320" w:top="1440" w:right="339" w:bottom="1440" w:gutter="0" w:footer="0" w:header="0"/>
        </w:sectPr>
      </w:pPr>
    </w:p>
    <w:p>
      <w:pPr>
        <w:spacing w:after="0" w:line="21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Three Months Ended June 30,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39370</wp:posOffset>
            </wp:positionV>
            <wp:extent cx="22713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7" w:lineRule="exact"/>
        <w:rPr>
          <w:sz w:val="20"/>
          <w:szCs w:val="20"/>
          <w:color w:val="auto"/>
        </w:rPr>
      </w:pPr>
    </w:p>
    <w:p>
      <w:pPr>
        <w:ind w:left="3840"/>
        <w:spacing w:after="0"/>
        <w:tabs>
          <w:tab w:leader="none" w:pos="5000" w:val="left"/>
          <w:tab w:leader="none" w:pos="6220" w:val="left"/>
        </w:tabs>
        <w:rPr>
          <w:sz w:val="20"/>
          <w:szCs w:val="20"/>
          <w:color w:val="auto"/>
        </w:rPr>
      </w:pPr>
      <w:r>
        <w:rPr>
          <w:rFonts w:ascii="Arial" w:cs="Arial" w:eastAsia="Arial" w:hAnsi="Arial"/>
          <w:sz w:val="14"/>
          <w:szCs w:val="14"/>
          <w:b w:val="1"/>
          <w:bCs w:val="1"/>
          <w:color w:val="auto"/>
        </w:rPr>
        <w:t>As reported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As Corrected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Six Months Ended June 30,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32385</wp:posOffset>
            </wp:positionV>
            <wp:extent cx="22885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180" w:val="left"/>
          <w:tab w:leader="none" w:pos="2400" w:val="left"/>
        </w:tabs>
        <w:rPr>
          <w:sz w:val="20"/>
          <w:szCs w:val="20"/>
          <w:color w:val="auto"/>
        </w:rPr>
      </w:pPr>
      <w:r>
        <w:rPr>
          <w:rFonts w:ascii="Arial" w:cs="Arial" w:eastAsia="Arial" w:hAnsi="Arial"/>
          <w:sz w:val="14"/>
          <w:szCs w:val="14"/>
          <w:b w:val="1"/>
          <w:bCs w:val="1"/>
          <w:color w:val="auto"/>
        </w:rPr>
        <w:t>As reported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As Corrected</w:t>
      </w:r>
    </w:p>
    <w:p>
      <w:pPr>
        <w:spacing w:after="0" w:line="34" w:lineRule="exact"/>
        <w:rPr>
          <w:sz w:val="20"/>
          <w:szCs w:val="20"/>
          <w:color w:val="auto"/>
        </w:rPr>
      </w:pPr>
    </w:p>
    <w:p>
      <w:pPr>
        <w:sectPr>
          <w:pgSz w:w="11900" w:h="16838" w:orient="portrait"/>
          <w:cols w:equalWidth="0" w:num="2">
            <w:col w:w="7060" w:space="460"/>
            <w:col w:w="372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-120650</wp:posOffset>
            </wp:positionV>
            <wp:extent cx="46202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560" w:type="dxa"/>
            <w:vAlign w:val="bottom"/>
          </w:tcPr>
          <w:p>
            <w:pPr>
              <w:ind w:left="180"/>
              <w:spacing w:after="0"/>
              <w:rPr>
                <w:sz w:val="20"/>
                <w:szCs w:val="20"/>
                <w:color w:val="auto"/>
              </w:rPr>
            </w:pPr>
            <w:r>
              <w:rPr>
                <w:rFonts w:ascii="Arial" w:cs="Arial" w:eastAsia="Arial" w:hAnsi="Arial"/>
                <w:sz w:val="18"/>
                <w:szCs w:val="18"/>
                <w:color w:val="auto"/>
              </w:rPr>
              <w:t>and comprehensive loss data:</w:t>
            </w:r>
          </w:p>
        </w:tc>
        <w:tc>
          <w:tcPr>
            <w:tcW w:w="440" w:type="dxa"/>
            <w:vAlign w:val="bottom"/>
          </w:tcPr>
          <w:p>
            <w:pPr>
              <w:spacing w:after="0"/>
              <w:rPr>
                <w:sz w:val="19"/>
                <w:szCs w:val="19"/>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amounts)</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amounts)</w:t>
            </w:r>
          </w:p>
        </w:tc>
        <w:tc>
          <w:tcPr>
            <w:tcW w:w="580" w:type="dxa"/>
            <w:vAlign w:val="bottom"/>
          </w:tcPr>
          <w:p>
            <w:pPr>
              <w:spacing w:after="0"/>
              <w:rPr>
                <w:sz w:val="19"/>
                <w:szCs w:val="19"/>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(4.0)</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480" w:type="dxa"/>
            <w:vAlign w:val="bottom"/>
          </w:tcPr>
          <w:p>
            <w:pPr>
              <w:spacing w:after="0"/>
              <w:rPr>
                <w:sz w:val="19"/>
                <w:szCs w:val="19"/>
                <w:color w:val="auto"/>
              </w:rPr>
            </w:pPr>
          </w:p>
        </w:tc>
        <w:tc>
          <w:tcPr>
            <w:tcW w:w="760" w:type="dxa"/>
            <w:vAlign w:val="bottom"/>
          </w:tcPr>
          <w:p>
            <w:pPr>
              <w:jc w:val="center"/>
              <w:ind w:left="210"/>
              <w:spacing w:after="0"/>
              <w:rPr>
                <w:sz w:val="20"/>
                <w:szCs w:val="20"/>
                <w:color w:val="auto"/>
              </w:rPr>
            </w:pPr>
            <w:r>
              <w:rPr>
                <w:rFonts w:ascii="Arial" w:cs="Arial" w:eastAsia="Arial" w:hAnsi="Arial"/>
                <w:sz w:val="18"/>
                <w:szCs w:val="18"/>
                <w:color w:val="auto"/>
                <w:w w:val="87"/>
              </w:rPr>
              <w:t>9.6</w:t>
            </w:r>
          </w:p>
        </w:tc>
        <w:tc>
          <w:tcPr>
            <w:tcW w:w="6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4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5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161.1</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7"/>
              </w:rPr>
              <w:t>5.6</w:t>
            </w: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166.7</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w:t>
            </w:r>
          </w:p>
        </w:tc>
        <w:tc>
          <w:tcPr>
            <w:tcW w:w="480" w:type="dxa"/>
            <w:vAlign w:val="bottom"/>
          </w:tcPr>
          <w:p>
            <w:pPr>
              <w:spacing w:after="0"/>
              <w:rPr>
                <w:sz w:val="19"/>
                <w:szCs w:val="19"/>
                <w:color w:val="auto"/>
              </w:rPr>
            </w:pP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1"/>
              </w:rPr>
              <w:t>(5.6)</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(158.3)</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(5.6)</w:t>
            </w: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(173.0)</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w:t>
            </w:r>
          </w:p>
        </w:tc>
        <w:tc>
          <w:tcPr>
            <w:tcW w:w="480" w:type="dxa"/>
            <w:vAlign w:val="bottom"/>
          </w:tcPr>
          <w:p>
            <w:pPr>
              <w:spacing w:after="0"/>
              <w:rPr>
                <w:sz w:val="19"/>
                <w:szCs w:val="19"/>
                <w:color w:val="auto"/>
              </w:rPr>
            </w:pP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1"/>
              </w:rPr>
              <w:t>(5.6)</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(173.0)</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(5.6)</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(178.0)</w:t>
            </w: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1"/>
              </w:rPr>
              <w:t>Weighted-average common shares outstanding:</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3"/>
        </w:trPr>
        <w:tc>
          <w:tcPr>
            <w:tcW w:w="3560" w:type="dxa"/>
            <w:vAlign w:val="bottom"/>
          </w:tcPr>
          <w:p>
            <w:pPr>
              <w:ind w:left="180"/>
              <w:spacing w:after="0" w:line="243" w:lineRule="exact"/>
              <w:rPr>
                <w:sz w:val="20"/>
                <w:szCs w:val="20"/>
                <w:color w:val="auto"/>
              </w:rPr>
            </w:pPr>
            <w:r>
              <w:rPr>
                <w:rFonts w:ascii="Arial" w:cs="Arial" w:eastAsia="Arial" w:hAnsi="Arial"/>
                <w:sz w:val="18"/>
                <w:szCs w:val="18"/>
                <w:color w:val="auto"/>
              </w:rPr>
              <w:t>basic and diluted (both Class A and B)</w:t>
            </w:r>
            <w:r>
              <w:rPr>
                <w:rFonts w:ascii="Arial" w:cs="Arial" w:eastAsia="Arial" w:hAnsi="Arial"/>
                <w:sz w:val="23"/>
                <w:szCs w:val="23"/>
                <w:color w:val="auto"/>
                <w:vertAlign w:val="superscript"/>
              </w:rPr>
              <w:t>(1)</w:t>
            </w: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Loss per common share: basic and diluted (both</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Class A and B)</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17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Three Months Ended September 30,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39370</wp:posOffset>
            </wp:positionV>
            <wp:extent cx="22713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7" w:lineRule="exact"/>
        <w:rPr>
          <w:sz w:val="20"/>
          <w:szCs w:val="20"/>
          <w:color w:val="auto"/>
        </w:rPr>
      </w:pPr>
    </w:p>
    <w:p>
      <w:pPr>
        <w:ind w:left="3840"/>
        <w:spacing w:after="0"/>
        <w:tabs>
          <w:tab w:leader="none" w:pos="5000" w:val="left"/>
          <w:tab w:leader="none" w:pos="6220" w:val="left"/>
        </w:tabs>
        <w:rPr>
          <w:sz w:val="20"/>
          <w:szCs w:val="20"/>
          <w:color w:val="auto"/>
        </w:rPr>
      </w:pPr>
      <w:r>
        <w:rPr>
          <w:rFonts w:ascii="Arial" w:cs="Arial" w:eastAsia="Arial" w:hAnsi="Arial"/>
          <w:sz w:val="14"/>
          <w:szCs w:val="14"/>
          <w:b w:val="1"/>
          <w:bCs w:val="1"/>
          <w:color w:val="auto"/>
        </w:rPr>
        <w:t>As reported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As Corrected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39370</wp:posOffset>
            </wp:positionV>
            <wp:extent cx="22885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1200" w:val="left"/>
          <w:tab w:leader="none" w:pos="2420" w:val="left"/>
        </w:tabs>
        <w:rPr>
          <w:sz w:val="20"/>
          <w:szCs w:val="20"/>
          <w:color w:val="auto"/>
        </w:rPr>
      </w:pPr>
      <w:r>
        <w:rPr>
          <w:rFonts w:ascii="Arial" w:cs="Arial" w:eastAsia="Arial" w:hAnsi="Arial"/>
          <w:sz w:val="14"/>
          <w:szCs w:val="14"/>
          <w:b w:val="1"/>
          <w:bCs w:val="1"/>
          <w:color w:val="auto"/>
        </w:rPr>
        <w:t>As reported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As Corrected</w:t>
      </w:r>
    </w:p>
    <w:p>
      <w:pPr>
        <w:spacing w:after="0" w:line="34" w:lineRule="exact"/>
        <w:rPr>
          <w:sz w:val="20"/>
          <w:szCs w:val="20"/>
          <w:color w:val="auto"/>
        </w:rPr>
      </w:pPr>
    </w:p>
    <w:p>
      <w:pPr>
        <w:sectPr>
          <w:pgSz w:w="11900" w:h="16838" w:orient="portrait"/>
          <w:cols w:equalWidth="0" w:num="2">
            <w:col w:w="7080" w:space="420"/>
            <w:col w:w="3420"/>
          </w:cols>
          <w:pgMar w:left="320" w:top="1440" w:right="659" w:bottom="1440" w:gutter="0" w:footer="0" w:header="0"/>
        </w:sectPr>
      </w:pPr>
    </w:p>
    <w:p>
      <w:pPr>
        <w:ind w:left="20"/>
        <w:spacing w:after="0"/>
        <w:rPr>
          <w:sz w:val="20"/>
          <w:szCs w:val="20"/>
          <w:color w:val="auto"/>
        </w:rPr>
      </w:pPr>
      <w:r>
        <w:rPr>
          <w:rFonts w:ascii="Arial" w:cs="Arial" w:eastAsia="Arial" w:hAnsi="Arial"/>
          <w:sz w:val="18"/>
          <w:szCs w:val="18"/>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-120650</wp:posOffset>
            </wp:positionV>
            <wp:extent cx="46202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560" w:type="dxa"/>
            <w:vAlign w:val="bottom"/>
          </w:tcPr>
          <w:p>
            <w:pPr>
              <w:ind w:left="180"/>
              <w:spacing w:after="0"/>
              <w:rPr>
                <w:sz w:val="20"/>
                <w:szCs w:val="20"/>
                <w:color w:val="auto"/>
              </w:rPr>
            </w:pPr>
            <w:r>
              <w:rPr>
                <w:rFonts w:ascii="Arial" w:cs="Arial" w:eastAsia="Arial" w:hAnsi="Arial"/>
                <w:sz w:val="18"/>
                <w:szCs w:val="18"/>
                <w:color w:val="auto"/>
              </w:rPr>
              <w:t>and comprehensive loss data:</w:t>
            </w:r>
          </w:p>
        </w:tc>
        <w:tc>
          <w:tcPr>
            <w:tcW w:w="440" w:type="dxa"/>
            <w:vAlign w:val="bottom"/>
          </w:tcPr>
          <w:p>
            <w:pPr>
              <w:spacing w:after="0"/>
              <w:rPr>
                <w:sz w:val="19"/>
                <w:szCs w:val="19"/>
                <w:color w:val="auto"/>
              </w:rPr>
            </w:pPr>
          </w:p>
        </w:tc>
        <w:tc>
          <w:tcPr>
            <w:tcW w:w="3260" w:type="dxa"/>
            <w:vAlign w:val="bottom"/>
            <w:gridSpan w:val="5"/>
          </w:tcPr>
          <w:p>
            <w:pPr>
              <w:jc w:val="right"/>
              <w:ind w:right="553"/>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w w:val="93"/>
              </w:rPr>
              <w:t>(in millions, except per share amounts)</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45.8</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4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86.3</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128.4</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130.8</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445.8</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(206.3)</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(230.3)</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(230.3)</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(239.4)</w:t>
            </w: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(237.6)</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r>
      <w:tr>
        <w:trPr>
          <w:trHeight w:val="176"/>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1"/>
              </w:rPr>
              <w:t>Weighted-average common shares outstanding:</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3560" w:type="dxa"/>
            <w:vAlign w:val="bottom"/>
          </w:tcPr>
          <w:p>
            <w:pPr>
              <w:ind w:left="180"/>
              <w:spacing w:after="0" w:line="243" w:lineRule="exact"/>
              <w:rPr>
                <w:sz w:val="20"/>
                <w:szCs w:val="20"/>
                <w:color w:val="auto"/>
              </w:rPr>
            </w:pPr>
            <w:r>
              <w:rPr>
                <w:rFonts w:ascii="Arial" w:cs="Arial" w:eastAsia="Arial" w:hAnsi="Arial"/>
                <w:sz w:val="18"/>
                <w:szCs w:val="18"/>
                <w:color w:val="auto"/>
              </w:rPr>
              <w:t>basic and diluted (both Class A and B)</w:t>
            </w:r>
            <w:r>
              <w:rPr>
                <w:rFonts w:ascii="Arial" w:cs="Arial" w:eastAsia="Arial" w:hAnsi="Arial"/>
                <w:sz w:val="23"/>
                <w:szCs w:val="23"/>
                <w:color w:val="auto"/>
                <w:vertAlign w:val="superscript"/>
              </w:rPr>
              <w:t>(1)</w:t>
            </w: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14.0</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Loss per common share: basic and diluted (both</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Class A and B)</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(16.45)</w:t>
            </w: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311"/>
        </w:trPr>
        <w:tc>
          <w:tcPr>
            <w:tcW w:w="3560" w:type="dxa"/>
            <w:vAlign w:val="bottom"/>
          </w:tcPr>
          <w:p>
            <w:pPr>
              <w:spacing w:after="0"/>
              <w:rPr>
                <w:sz w:val="20"/>
                <w:szCs w:val="20"/>
                <w:color w:val="auto"/>
              </w:rPr>
            </w:pPr>
            <w:r>
              <w:rPr>
                <w:rFonts w:ascii="Arial" w:cs="Arial" w:eastAsia="Arial" w:hAnsi="Arial"/>
                <w:sz w:val="18"/>
                <w:szCs w:val="18"/>
                <w:color w:val="auto"/>
              </w:rPr>
              <w:t>______________</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25"/>
        </w:trPr>
        <w:tc>
          <w:tcPr>
            <w:tcW w:w="10120" w:type="dxa"/>
            <w:vAlign w:val="bottom"/>
            <w:gridSpan w:val="13"/>
          </w:tcPr>
          <w:p>
            <w:pPr>
              <w:spacing w:after="0"/>
              <w:rPr>
                <w:sz w:val="20"/>
                <w:szCs w:val="20"/>
                <w:color w:val="auto"/>
              </w:rPr>
            </w:pPr>
            <w:r>
              <w:rPr>
                <w:rFonts w:ascii="Arial" w:cs="Arial" w:eastAsia="Arial" w:hAnsi="Arial"/>
                <w:sz w:val="14"/>
                <w:szCs w:val="14"/>
                <w:color w:val="auto"/>
                <w:w w:val="95"/>
              </w:rPr>
              <w:t>(1) Reflects the 1-for-18 reverse stock split that became effective August 12, 2022. Refer to Note 2, “Basis of Presentation and Summary of Significant Accounting Policies.”</w:t>
            </w:r>
          </w:p>
        </w:tc>
        <w:tc>
          <w:tcPr>
            <w:tcW w:w="800" w:type="dxa"/>
            <w:vAlign w:val="bottom"/>
          </w:tcPr>
          <w:p>
            <w:pPr>
              <w:spacing w:after="0"/>
              <w:rPr>
                <w:sz w:val="24"/>
                <w:szCs w:val="24"/>
                <w:color w:val="auto"/>
              </w:rPr>
            </w:pPr>
          </w:p>
        </w:tc>
      </w:tr>
      <w:tr>
        <w:trPr>
          <w:trHeight w:val="365"/>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As of March 31, 2022 (unaudited)</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6"/>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189"/>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3"/>
              </w:rPr>
              <w:t>As Corrected</w:t>
            </w:r>
          </w:p>
        </w:tc>
      </w:tr>
      <w:tr>
        <w:trPr>
          <w:trHeight w:val="175"/>
        </w:trPr>
        <w:tc>
          <w:tcPr>
            <w:tcW w:w="6020" w:type="dxa"/>
            <w:vAlign w:val="bottom"/>
            <w:gridSpan w:val="5"/>
          </w:tcPr>
          <w:p>
            <w:pPr>
              <w:ind w:left="20"/>
              <w:spacing w:after="0" w:line="175" w:lineRule="exact"/>
              <w:rPr>
                <w:sz w:val="20"/>
                <w:szCs w:val="20"/>
                <w:color w:val="auto"/>
              </w:rPr>
            </w:pPr>
            <w:r>
              <w:rPr>
                <w:rFonts w:ascii="Arial" w:cs="Arial" w:eastAsia="Arial" w:hAnsi="Arial"/>
                <w:sz w:val="18"/>
                <w:szCs w:val="18"/>
                <w:color w:val="auto"/>
                <w:w w:val="91"/>
              </w:rPr>
              <w:t>Condensed consolidated statement of redeemable convertible preferred stock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stockholders equity data:</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9"/>
              <w:spacing w:after="0"/>
              <w:rPr>
                <w:sz w:val="20"/>
                <w:szCs w:val="20"/>
                <w:color w:val="auto"/>
              </w:rPr>
            </w:pPr>
            <w:r>
              <w:rPr>
                <w:rFonts w:ascii="Arial" w:cs="Arial" w:eastAsia="Arial" w:hAnsi="Arial"/>
                <w:sz w:val="18"/>
                <w:szCs w:val="18"/>
                <w:color w:val="auto"/>
              </w:rPr>
              <w:t>468.7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338"/>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As of June 30, 2022 (unaudited)</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3"/>
              </w:rPr>
              <w:t>As Corrected</w:t>
            </w:r>
          </w:p>
        </w:tc>
      </w:tr>
      <w:tr>
        <w:trPr>
          <w:trHeight w:val="175"/>
        </w:trPr>
        <w:tc>
          <w:tcPr>
            <w:tcW w:w="6020" w:type="dxa"/>
            <w:vAlign w:val="bottom"/>
            <w:gridSpan w:val="5"/>
          </w:tcPr>
          <w:p>
            <w:pPr>
              <w:ind w:left="20"/>
              <w:spacing w:after="0" w:line="175" w:lineRule="exact"/>
              <w:rPr>
                <w:sz w:val="20"/>
                <w:szCs w:val="20"/>
                <w:color w:val="auto"/>
              </w:rPr>
            </w:pPr>
            <w:r>
              <w:rPr>
                <w:rFonts w:ascii="Arial" w:cs="Arial" w:eastAsia="Arial" w:hAnsi="Arial"/>
                <w:sz w:val="18"/>
                <w:szCs w:val="18"/>
                <w:color w:val="auto"/>
                <w:w w:val="91"/>
              </w:rPr>
              <w:t>Condensed consolidated statement of redeemable convertible preferred stock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stockholders equity data:</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9"/>
              <w:spacing w:after="0"/>
              <w:rPr>
                <w:sz w:val="20"/>
                <w:szCs w:val="20"/>
                <w:color w:val="auto"/>
              </w:rPr>
            </w:pPr>
            <w:r>
              <w:rPr>
                <w:rFonts w:ascii="Arial" w:cs="Arial" w:eastAsia="Arial" w:hAnsi="Arial"/>
                <w:sz w:val="18"/>
                <w:szCs w:val="18"/>
                <w:color w:val="auto"/>
              </w:rPr>
              <w:t>388.0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381.3</w:t>
            </w:r>
          </w:p>
        </w:tc>
      </w:tr>
      <w:tr>
        <w:trPr>
          <w:trHeight w:val="338"/>
        </w:trPr>
        <w:tc>
          <w:tcPr>
            <w:tcW w:w="3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As of September 30, 2022 (unaudited)</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
        </w:trPr>
        <w:tc>
          <w:tcPr>
            <w:tcW w:w="3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w w:val="93"/>
              </w:rPr>
              <w:t>As Corrected</w:t>
            </w:r>
          </w:p>
        </w:tc>
      </w:tr>
      <w:tr>
        <w:trPr>
          <w:trHeight w:val="175"/>
        </w:trPr>
        <w:tc>
          <w:tcPr>
            <w:tcW w:w="6020" w:type="dxa"/>
            <w:vAlign w:val="bottom"/>
            <w:gridSpan w:val="5"/>
          </w:tcPr>
          <w:p>
            <w:pPr>
              <w:ind w:left="20"/>
              <w:spacing w:after="0" w:line="175" w:lineRule="exact"/>
              <w:rPr>
                <w:sz w:val="20"/>
                <w:szCs w:val="20"/>
                <w:color w:val="auto"/>
              </w:rPr>
            </w:pPr>
            <w:r>
              <w:rPr>
                <w:rFonts w:ascii="Arial" w:cs="Arial" w:eastAsia="Arial" w:hAnsi="Arial"/>
                <w:sz w:val="18"/>
                <w:szCs w:val="18"/>
                <w:color w:val="auto"/>
                <w:w w:val="91"/>
              </w:rPr>
              <w:t>Condensed consolidated statement of redeemable convertible preferred stock and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stockholders equity data:</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9"/>
              <w:spacing w:after="0"/>
              <w:rPr>
                <w:sz w:val="20"/>
                <w:szCs w:val="20"/>
                <w:color w:val="auto"/>
              </w:rPr>
            </w:pPr>
            <w:r>
              <w:rPr>
                <w:rFonts w:ascii="Arial" w:cs="Arial" w:eastAsia="Arial" w:hAnsi="Arial"/>
                <w:sz w:val="18"/>
                <w:szCs w:val="18"/>
                <w:color w:val="auto"/>
              </w:rPr>
              <w:t>330.9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type w:val="continuous"/>
        </w:sectPr>
      </w:pPr>
    </w:p>
    <w:bookmarkStart w:id="131" w:name="page132"/>
    <w:bookmarkEnd w:id="13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20" w:type="dxa"/>
            <w:vAlign w:val="bottom"/>
            <w:gridSpan w:val="5"/>
          </w:tcPr>
          <w:p>
            <w:pPr>
              <w:jc w:val="center"/>
              <w:ind w:right="175"/>
              <w:spacing w:after="0"/>
              <w:rPr>
                <w:sz w:val="20"/>
                <w:szCs w:val="20"/>
                <w:color w:val="auto"/>
              </w:rPr>
            </w:pPr>
            <w:r>
              <w:rPr>
                <w:rFonts w:ascii="Arial" w:cs="Arial" w:eastAsia="Arial" w:hAnsi="Arial"/>
                <w:sz w:val="14"/>
                <w:szCs w:val="14"/>
                <w:b w:val="1"/>
                <w:bCs w:val="1"/>
                <w:color w:val="auto"/>
                <w:w w:val="94"/>
              </w:rPr>
              <w:t>Three Months Ended March 31, 2022 (unaudited)</w:t>
            </w:r>
          </w:p>
        </w:tc>
      </w:tr>
      <w:tr>
        <w:trPr>
          <w:trHeight w:val="26"/>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As Corrected</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Condensed consolidated statement of cash flows data:</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339"/>
        </w:trPr>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20" w:type="dxa"/>
            <w:vAlign w:val="bottom"/>
            <w:gridSpan w:val="5"/>
          </w:tcPr>
          <w:p>
            <w:pPr>
              <w:jc w:val="center"/>
              <w:ind w:right="175"/>
              <w:spacing w:after="0"/>
              <w:rPr>
                <w:sz w:val="20"/>
                <w:szCs w:val="20"/>
                <w:color w:val="auto"/>
              </w:rPr>
            </w:pPr>
            <w:r>
              <w:rPr>
                <w:rFonts w:ascii="Arial" w:cs="Arial" w:eastAsia="Arial" w:hAnsi="Arial"/>
                <w:sz w:val="14"/>
                <w:szCs w:val="14"/>
                <w:b w:val="1"/>
                <w:bCs w:val="1"/>
                <w:color w:val="auto"/>
                <w:w w:val="93"/>
              </w:rPr>
              <w:t>Six Months Ended June 30, 2022 (unaudited)</w:t>
            </w:r>
          </w:p>
        </w:tc>
      </w:tr>
      <w:tr>
        <w:trPr>
          <w:trHeight w:val="26"/>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As Corrected</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Condensed consolidated statement of cash flows data:</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339"/>
        </w:trPr>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20" w:type="dxa"/>
            <w:vAlign w:val="bottom"/>
            <w:gridSpan w:val="5"/>
          </w:tcPr>
          <w:p>
            <w:pPr>
              <w:jc w:val="center"/>
              <w:ind w:right="175"/>
              <w:spacing w:after="0"/>
              <w:rPr>
                <w:sz w:val="20"/>
                <w:szCs w:val="20"/>
                <w:color w:val="auto"/>
              </w:rPr>
            </w:pPr>
            <w:r>
              <w:rPr>
                <w:rFonts w:ascii="Arial" w:cs="Arial" w:eastAsia="Arial" w:hAnsi="Arial"/>
                <w:sz w:val="14"/>
                <w:szCs w:val="14"/>
                <w:b w:val="1"/>
                <w:bCs w:val="1"/>
                <w:color w:val="auto"/>
                <w:w w:val="93"/>
              </w:rPr>
              <w:t>Nine Months Ended September 30, 2022 (unaudited)</w:t>
            </w:r>
          </w:p>
        </w:tc>
      </w:tr>
      <w:tr>
        <w:trPr>
          <w:trHeight w:val="26"/>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As Corrected</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Condensed consolidated statement of cash flows data:</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32" w:name="page133"/>
    <w:bookmarkEnd w:id="132"/>
    <w:p>
      <w:pPr>
        <w:spacing w:after="0" w:line="14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175"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The interim financial statements for the quarterly periods in 2022 are unaudited and, in the opinion of management, include all adjustments, consisting of normal recurring adjustments, necessary for a fair presentation of the periods presented. Information for the three months ended March 31, 2022, June 30, 2022 and September 30, 2022 have been adjusted to correct immaterial errors. For additional information, refer to Note 2, “Basis of Presentation and Summary of Significant Accounting Policies,” and Note 18, “Revision of Previously Issued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For the 2022 Quarter Ended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4"/>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(in millions, except per share data)</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Net premiums earned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Net realized gains (losses) on investments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insurance expense (benefit)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net unrealizes (losses) gains on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Loss per common share: basic and diluted (both Class A and B)</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175"/>
        </w:trPr>
        <w:tc>
          <w:tcPr>
            <w:tcW w:w="58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Weighted-average common shares outstanding: basic and diluted (both Class A</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5820" w:type="dxa"/>
            <w:vAlign w:val="bottom"/>
          </w:tcPr>
          <w:p>
            <w:pPr>
              <w:ind w:left="180"/>
              <w:spacing w:after="0"/>
              <w:rPr>
                <w:sz w:val="20"/>
                <w:szCs w:val="20"/>
                <w:color w:val="auto"/>
              </w:rPr>
            </w:pPr>
            <w:r>
              <w:rPr>
                <w:rFonts w:ascii="Arial" w:cs="Arial" w:eastAsia="Arial" w:hAnsi="Arial"/>
                <w:sz w:val="18"/>
                <w:szCs w:val="18"/>
                <w:color w:val="auto"/>
              </w:rPr>
              <w:t>and B)</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 (Parent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7"/>
                <w:szCs w:val="17"/>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subsidiaries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receivable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and warrants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Investments in subsidiaries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payable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rPr>
              <w:t>Redeemable convertible preferred stock, $0.0001 par value, 14.1 shares issued and outstanding at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December 31, 2022 and December 31, 2021 (liquidation preference of $126.5)</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5"/>
        </w:trPr>
        <w:tc>
          <w:tcPr>
            <w:tcW w:w="8020" w:type="dxa"/>
            <w:vAlign w:val="bottom"/>
          </w:tcPr>
          <w:p>
            <w:pPr>
              <w:ind w:left="140"/>
              <w:spacing w:after="0" w:line="176" w:lineRule="exact"/>
              <w:rPr>
                <w:sz w:val="20"/>
                <w:szCs w:val="20"/>
                <w:color w:val="auto"/>
              </w:rPr>
            </w:pPr>
            <w:r>
              <w:rPr>
                <w:rFonts w:ascii="Arial" w:cs="Arial" w:eastAsia="Arial" w:hAnsi="Arial"/>
                <w:sz w:val="18"/>
                <w:szCs w:val="18"/>
                <w:color w:val="auto"/>
                <w:w w:val="90"/>
              </w:rPr>
              <w:t>Class A common stock, $0.0001 par value, 9.2 and 7.9 shares issued and outstanding at December 31, 2022</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020" w:type="dxa"/>
            <w:vAlign w:val="bottom"/>
          </w:tcPr>
          <w:p>
            <w:pPr>
              <w:ind w:left="300"/>
              <w:spacing w:after="0" w:line="243" w:lineRule="exact"/>
              <w:rPr>
                <w:sz w:val="20"/>
                <w:szCs w:val="20"/>
                <w:color w:val="auto"/>
              </w:rPr>
            </w:pPr>
            <w:r>
              <w:rPr>
                <w:rFonts w:ascii="Arial" w:cs="Arial" w:eastAsia="Arial" w:hAnsi="Arial"/>
                <w:sz w:val="18"/>
                <w:szCs w:val="18"/>
                <w:color w:val="auto"/>
              </w:rPr>
              <w:t>and December 31, 2021, respectively</w:t>
            </w:r>
            <w:r>
              <w:rPr>
                <w:rFonts w:ascii="Arial" w:cs="Arial" w:eastAsia="Arial" w:hAnsi="Arial"/>
                <w:sz w:val="23"/>
                <w:szCs w:val="23"/>
                <w:color w:val="auto"/>
                <w:vertAlign w:val="superscript"/>
              </w:rPr>
              <w:t>(1)</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0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Class B common stock, $0.0001 par value, 5.0 and 6.1 shares issued and outstanding at December 31, 2022</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300"/>
              <w:spacing w:after="0" w:line="243" w:lineRule="exact"/>
              <w:rPr>
                <w:sz w:val="20"/>
                <w:szCs w:val="20"/>
                <w:color w:val="auto"/>
              </w:rPr>
            </w:pPr>
            <w:r>
              <w:rPr>
                <w:rFonts w:ascii="Arial" w:cs="Arial" w:eastAsia="Arial" w:hAnsi="Arial"/>
                <w:sz w:val="18"/>
                <w:szCs w:val="18"/>
                <w:color w:val="auto"/>
              </w:rPr>
              <w:t>and December 31, 2021, respectively</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1,806.1</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(1,270.1)</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 Reflects the 1-for-18 reverse stock split that became effective August 12, 2022. Refer to Note 2, “Basis of Presentation and Summary of Significant Accounting Policies.”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6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Statements of Operations and Comprehensive Loss (Parent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Pr>
          <w:p>
            <w:pPr>
              <w:spacing w:after="0"/>
              <w:rPr>
                <w:sz w:val="16"/>
                <w:szCs w:val="16"/>
                <w:color w:val="auto"/>
              </w:rPr>
            </w:pPr>
          </w:p>
        </w:tc>
      </w:tr>
      <w:tr>
        <w:trPr>
          <w:trHeight w:val="39"/>
        </w:trPr>
        <w:tc>
          <w:tcPr>
            <w:tcW w:w="63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39"/>
        </w:trPr>
        <w:tc>
          <w:tcPr>
            <w:tcW w:w="63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gains on investments</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insurance expense</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63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 expense</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360" w:type="dxa"/>
            <w:vAlign w:val="bottom"/>
          </w:tcPr>
          <w:p>
            <w:pPr>
              <w:ind w:left="20"/>
              <w:spacing w:after="0"/>
              <w:rPr>
                <w:sz w:val="20"/>
                <w:szCs w:val="20"/>
                <w:color w:val="auto"/>
              </w:rPr>
            </w:pPr>
            <w:r>
              <w:rPr>
                <w:rFonts w:ascii="Arial" w:cs="Arial" w:eastAsia="Arial" w:hAnsi="Arial"/>
                <w:sz w:val="18"/>
                <w:szCs w:val="18"/>
                <w:color w:val="auto"/>
              </w:rPr>
              <w:t>Net loss before equity net loss of subsidiaries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of subsidiaries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63"/>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 income: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Other comprehensive (loss) income of subsidiaries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ectPr>
          <w:pgSz w:w="11900" w:h="16838" w:orient="portrait"/>
          <w:cols w:equalWidth="0" w:num="1">
            <w:col w:w="11240"/>
          </w:cols>
          <w:pgMar w:left="320" w:top="1309" w:right="339"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655" w:gutter="0" w:footer="0" w:header="0"/>
          <w:type w:val="continuous"/>
        </w:sectPr>
      </w:pPr>
    </w:p>
    <w:bookmarkStart w:id="135" w:name="page136"/>
    <w:bookmarkEnd w:id="135"/>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(Parent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For the Years Ended December 31,</w:t>
            </w:r>
          </w:p>
        </w:tc>
        <w:tc>
          <w:tcPr>
            <w:tcW w:w="880" w:type="dxa"/>
            <w:vAlign w:val="bottom"/>
            <w:tcBorders>
              <w:bottom w:val="single" w:sz="8" w:color="auto"/>
            </w:tcBorders>
          </w:tcPr>
          <w:p>
            <w:pPr>
              <w:spacing w:after="0"/>
              <w:rPr>
                <w:sz w:val="17"/>
                <w:szCs w:val="17"/>
                <w:color w:val="auto"/>
              </w:rPr>
            </w:pPr>
          </w:p>
        </w:tc>
      </w:tr>
      <w:tr>
        <w:trPr>
          <w:trHeight w:val="196"/>
        </w:trPr>
        <w:tc>
          <w:tcPr>
            <w:tcW w:w="7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00" w:type="dxa"/>
            <w:vAlign w:val="bottom"/>
          </w:tcPr>
          <w:p>
            <w:pPr>
              <w:jc w:val="right"/>
              <w:ind w:right="6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(62.9)</w:t>
            </w: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of investments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Purchases of indefinite-lived intangible assets and transaction costs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internally developed software</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Purchases of fixed assets</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subsidiaries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(360.9)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r>
      <w:tr>
        <w:trPr>
          <w:trHeight w:val="20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(369.7)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19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w w:val="91"/>
              </w:rPr>
              <w:t>Proceeds from issuance of common stock from IPO and concurrent private placements, net of issuance cost</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1,098.1</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Proceeds from exercise of stock options and restricted stock units, net of tax proceeds/(withholding)</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Proceeds from issuance of preferred stock and related warrants</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preferred stock and related warrants issuance costs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Proceeds from debt and warrants issuance, net of issuance cost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7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7160" w:type="dxa"/>
            <w:vAlign w:val="bottom"/>
          </w:tcPr>
          <w:p>
            <w:pPr>
              <w:ind w:left="140"/>
              <w:spacing w:after="0"/>
              <w:rPr>
                <w:sz w:val="20"/>
                <w:szCs w:val="20"/>
                <w:color w:val="auto"/>
              </w:rPr>
            </w:pPr>
            <w:r>
              <w:rPr>
                <w:rFonts w:ascii="Arial" w:cs="Arial" w:eastAsia="Arial" w:hAnsi="Arial"/>
                <w:sz w:val="16"/>
                <w:szCs w:val="16"/>
                <w:color w:val="auto"/>
              </w:rPr>
              <w:t>Purchases of treasury stock</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1,098.5</w:t>
            </w:r>
          </w:p>
        </w:tc>
      </w:tr>
      <w:tr>
        <w:trPr>
          <w:trHeight w:val="207"/>
        </w:trPr>
        <w:tc>
          <w:tcPr>
            <w:tcW w:w="71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826.0</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r>
      <w:tr>
        <w:trPr>
          <w:trHeight w:val="213"/>
        </w:trPr>
        <w:tc>
          <w:tcPr>
            <w:tcW w:w="7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80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1,044.1</w:t>
            </w:r>
          </w:p>
        </w:tc>
      </w:tr>
      <w:tr>
        <w:trPr>
          <w:trHeight w:val="20"/>
        </w:trPr>
        <w:tc>
          <w:tcPr>
            <w:tcW w:w="7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ROOT, INC. and CARET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Combined Financial Statements (Parent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7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Caret Holdings, Inc. is a holding company which was formed in 2015 to develop and launch a direct-to-consumer personal automobile insurance and mobile technology company. In August 2019 a new holding company, Root, Inc. was formed, which became the parent of Caret Holdings, Inc. and maintains 100% ownership of Caret Holdings,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7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Basis of Presentation and Combination</w:t>
      </w:r>
      <w:r>
        <w:rPr>
          <w:rFonts w:ascii="Arial" w:cs="Arial" w:eastAsia="Arial" w:hAnsi="Arial"/>
          <w:sz w:val="17"/>
          <w:szCs w:val="17"/>
          <w:color w:val="auto"/>
        </w:rPr>
        <w:t>—The condensed combined financial statements include the accounts of Root,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Caret Holdings, Inc., and are prepared in accordance with accounting principles generally accepted in the United States. All intercompany accounts and transactions have been eliminated. These financial statements have been combined in order to present comparative parent company financial statements for 2022, 2021 and 2020 and should be read in conjunction with our consolidated financial statements.</w:t>
      </w:r>
    </w:p>
    <w:p>
      <w:pPr>
        <w:spacing w:after="0" w:line="111"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combined financial statements requires management to make certain estimates and assumptions that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reported amounts of assets and liabilities and disclosure of contingent assets and liabilities at the date of the condensed financial statements and the reported amounts of revenue and expenses during the reporting period. Actual results could differ from those estimates.</w:t>
      </w:r>
    </w:p>
    <w:p>
      <w:pPr>
        <w:spacing w:after="0" w:line="8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Reverse Stock Split</w:t>
      </w:r>
      <w:r>
        <w:rPr>
          <w:rFonts w:ascii="Arial" w:cs="Arial" w:eastAsia="Arial" w:hAnsi="Arial"/>
          <w:sz w:val="16"/>
          <w:szCs w:val="16"/>
          <w:color w:val="auto"/>
        </w:rPr>
        <w:t>— In August 2022, an authorized subcommittee of our board of directors approved a reverse stock split of our Class A and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Stock Market.</w:t>
      </w:r>
    </w:p>
    <w:p>
      <w:pPr>
        <w:spacing w:after="0" w:line="10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connection with the reverse stock split, there was no change to the shares authorized or in the par value per share of $0.0001. In addition, there was no change to the number of shares issued or outstanding for our Series A Preferred Stock. The conversion price for our Series A Preferred Stock was adjusted to $162.00 and the exercise price and number of warrant shares for each of our outstanding warrants were also proportionately adjusted. Accordingly, all historical per share data, number of shares outstanding and other common stock equivalents for the periods presented in the accompanying consolidated financial statements and notes thereto have been adjusted retroactively, where applicable, to reflect the reverse stock split.</w:t>
      </w:r>
    </w:p>
    <w:p>
      <w:pPr>
        <w:spacing w:after="0" w:line="10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Statement of Cash Flows</w:t>
      </w:r>
      <w:r>
        <w:rPr>
          <w:rFonts w:ascii="Arial" w:cs="Arial" w:eastAsia="Arial" w:hAnsi="Arial"/>
          <w:sz w:val="18"/>
          <w:szCs w:val="18"/>
          <w:color w:val="auto"/>
        </w:rPr>
        <w:t>—The supplemental disclosures for cash and non-cash flows for the years ended December 31, 2022, 2021 and 2020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5"/>
        </w:trPr>
        <w:tc>
          <w:tcPr>
            <w:tcW w:w="6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8"/>
        </w:trPr>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 paid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preferred stock to common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Conversion of warrants to common stock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Carvana investment agreement issuance costs - non-cash</w:t>
            </w:r>
          </w:p>
        </w:tc>
        <w:tc>
          <w:tcPr>
            <w:tcW w:w="10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treasury stock - non-cash</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7" w:name="page138"/>
    <w:bookmarkEnd w:id="137"/>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combined balance sheets that sum to the total of the same such amount in the condensed combined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8"/>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r>
      <w:tr>
        <w:trPr>
          <w:trHeight w:val="238"/>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Total cash, cash equivalents and restricted cash shown in the condensed combined statements of cash flows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Investments in Subsidiaries</w:t>
      </w:r>
      <w:r>
        <w:rPr>
          <w:rFonts w:ascii="Arial" w:cs="Arial" w:eastAsia="Arial" w:hAnsi="Arial"/>
          <w:sz w:val="18"/>
          <w:szCs w:val="18"/>
          <w:color w:val="auto"/>
        </w:rPr>
        <w:t>—As of December 31, 2021, Caret Holdings, Inc. had a negative investment in subsidiaries balance of $58.5 million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accumulated losses from subsidiaries. In accordance with applicable accounting guidance, we reclassified the negative investment in subsidiaries balance to the liabilities section of our combined balance sheet.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Guarantees</w:t>
      </w:r>
    </w:p>
    <w:p>
      <w:pPr>
        <w:spacing w:after="0" w:line="175"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color w:val="auto"/>
        </w:rPr>
        <w:t>Root, Inc. entered into an agreement with the Superintendent of Insurance, State of Ohio,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38" w:name="page139"/>
    <w:bookmarkEnd w:id="138"/>
    <w:p>
      <w:pPr>
        <w:spacing w:after="0" w:line="18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ROOT, INC. AND SUBSIDIARIES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Schedule V: Valuation and Qualifying Accounts</w:t>
      </w:r>
    </w:p>
    <w:p>
      <w:pPr>
        <w:spacing w:after="0" w:line="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For the Years Ended December 31, 2022, 2021 and 2020</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90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Charged to costs and</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Charge to other</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beginning</w:t>
            </w:r>
          </w:p>
        </w:tc>
        <w:tc>
          <w:tcPr>
            <w:tcW w:w="15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 period</w:t>
            </w: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expenses</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7"/>
                <w:szCs w:val="17"/>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Allowance for reinsurance recoverables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Allowance for premium receivables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720"/>
              <w:spacing w:after="0"/>
              <w:rPr>
                <w:sz w:val="20"/>
                <w:szCs w:val="20"/>
                <w:color w:val="auto"/>
              </w:rPr>
            </w:pPr>
            <w:r>
              <w:rPr>
                <w:rFonts w:ascii="Arial" w:cs="Arial" w:eastAsia="Arial" w:hAnsi="Arial"/>
                <w:sz w:val="18"/>
                <w:szCs w:val="18"/>
                <w:color w:val="auto"/>
                <w:w w:val="93"/>
              </w:rPr>
              <w:t>(20.0)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reinsurance recoverables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ind w:right="2599"/>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0" w:name="page141"/>
    <w:bookmarkEnd w:id="140"/>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described in the Current Report on Form 8-K filed on December 30, 2022, The Audit, Risk and Finance Committee (the “Audit Committee”) of our board of directors engaged outside counsel to conduct an internal investigation with respect to a series of marketing services transactions that a former senior marketing employee entered into in 2022. The internal investigation is now concluded. The results indicate that, with respect to certain vendors, these transactions involve payments from the Company of approximately $10 million, which the Company believes were subsequently transferred at such former employee’s direction and without prior disclosure to Company senior management, by those vendors to entities in which the former employee had an interest. The former employee who is accused of committing the suspected fraud is no longer employed by the Company. The suspected fraud was discovered by the Company in the weeks following the former employee’s termination on November 9,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supervision and with the participation of our principal executive officer and principal financial officer, we evaluated the effectiveness of the design and operation of our disclosure controls and procedures (as defined in Rules 13a-15(e) and 15d-15(e) under the Exchange Act) as of the end of the period covered in this Annual Report on Form 10-K. Based on the evaluation of these disclosure controls and procedures, because of the material weakness described below, our principal executive officer and principal financial officer concluded that our disclosure controls and procedures were not effective as of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Under the supervision of our principal executive officer and principal financial officer, we conducted our evaluation of the effectiveness of our internal control over financial reporting as of December 31, 2022, using the criteria established in Internal Control - Integrated Framework issued by the Committee of Sponsoring Organizations of the Treadway Commission, or COSO.</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evaluation under these criteria and because of the material weakness described below, our principal executive officer and principal financial officer concluded that we did not maintain effective internal control over financial reporting as of December 31, 2022.</w:t>
      </w:r>
    </w:p>
    <w:p>
      <w:pPr>
        <w:spacing w:after="0" w:line="11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our assessment of the effectiveness of internal control over financial reporting as of December 31, 2022, we determined that there were control deficiencies related to monitoring and the control environment, including the circumvention of control activities, that contributed to the suspected fraud perpetrated by a former senior marketing employee, and aggregated to a material weakness. Specifically, the material weakness relates to inadequate hiring practices for employees in senior leadership positions whose roles and responsibilities include the initiation of transactions with third parties; and ineffective control and monitoring activities, including the circumvention of certain control activities, related to the review, authorization and approval of third-party vendors, and associated contracts for services, and approval of third-party vendor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intend to remedy our material weakness described above by:</w:t>
      </w:r>
    </w:p>
    <w:p>
      <w:pPr>
        <w:spacing w:after="0" w:line="171" w:lineRule="exact"/>
        <w:rPr>
          <w:sz w:val="20"/>
          <w:szCs w:val="20"/>
          <w:color w:val="auto"/>
        </w:rPr>
      </w:pPr>
    </w:p>
    <w:p>
      <w:pPr>
        <w:ind w:right="260" w:firstLine="8"/>
        <w:spacing w:after="0" w:line="277"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Enhancing our policy to require more comprehensive hiring practices for individuals in senior leadership positions, which may include more robust background checks than we require for all employees.</w:t>
      </w:r>
    </w:p>
    <w:p>
      <w:pPr>
        <w:spacing w:after="0" w:line="116" w:lineRule="exact"/>
        <w:rPr>
          <w:rFonts w:ascii="Arial" w:cs="Arial" w:eastAsia="Arial" w:hAnsi="Arial"/>
          <w:sz w:val="18"/>
          <w:szCs w:val="18"/>
          <w:color w:val="auto"/>
        </w:rPr>
      </w:pPr>
    </w:p>
    <w:p>
      <w:pPr>
        <w:ind w:right="560" w:firstLine="8"/>
        <w:spacing w:after="0" w:line="342" w:lineRule="auto"/>
        <w:tabs>
          <w:tab w:leader="none" w:pos="3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Improving the design of internal vendor management processes and controls, including the hiring of dedicated procurement resources to ensure contracts, including amendments, are appropriately reviewed, authorized in accordance with our delegation of authority policies, and approved.</w:t>
      </w:r>
    </w:p>
    <w:p>
      <w:pPr>
        <w:spacing w:after="0" w:line="69" w:lineRule="exact"/>
        <w:rPr>
          <w:rFonts w:ascii="Arial" w:cs="Arial" w:eastAsia="Arial" w:hAnsi="Arial"/>
          <w:sz w:val="16"/>
          <w:szCs w:val="16"/>
          <w:color w:val="auto"/>
        </w:rPr>
      </w:pPr>
    </w:p>
    <w:p>
      <w:pPr>
        <w:ind w:right="480" w:firstLine="8"/>
        <w:spacing w:after="0" w:line="277"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Clarifying the design of vendor payment controls to prescribe the criteria an approver must review, in addition to invoice requests, to adequately support payments to vendors.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Implementing more stringent monitoring controls to ensure compliance with contract reviews, approval authority limits and vendor payment policies.</w:t>
      </w:r>
    </w:p>
    <w:p>
      <w:pPr>
        <w:spacing w:after="0" w:line="1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committed to maintaining a strong internal control environment, and believe that these remediation actions, when fully implemented, will represent significant improvements in our controls under the Internal Control – Integrated Framework issued by the COSO. Additional remediation measures may be required, which may require additional implementation time. We will continue to assess the effectiveness of our remediation efforts in connection with our evaluation of internal control over financial reporting. The material weakness will not be considered remediated until the applicable remedial controls operate for a sufficient period of time and management has concluded, through testing, that these controls are designed and operating effectively.</w:t>
      </w:r>
    </w:p>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Deloitte &amp; Touche LLP, our independent registered public accounting firm, has issued an attestation report on the effectiveness of our internal control over financial reporting as of December 31, 2022, which is included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Except for the identification of the material weakness described above, there were no changes during the quarter ended December 31, 2022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40" w:lineRule="exact"/>
        <w:rPr>
          <w:sz w:val="20"/>
          <w:szCs w:val="20"/>
          <w:color w:val="auto"/>
        </w:rPr>
      </w:pPr>
    </w:p>
    <w:p>
      <w:pPr>
        <w:ind w:right="5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Root,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audited the internal control over financial reporting of Root, Inc. and subsidiaries (the “Company”) as of December 31, 2022,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2022, based on criteria established in Internal Control — Integrated Framework (2013) issued by COSO.</w:t>
      </w:r>
    </w:p>
    <w:p>
      <w:pPr>
        <w:spacing w:after="0" w:line="13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22, 2023,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statements will not be prevented or detected on a timely basis. The following material weakness has been identified and included in management's assessment:</w:t>
      </w:r>
    </w:p>
    <w:p>
      <w:pPr>
        <w:spacing w:after="0" w:line="11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Inadequate hiring practices for employees in senior leadership positions whose roles and responsibilities include the initiation of transactions with third parties; and ineffective control and monitoring activities, including the circumvention of certain control activities, related to the review, authorization and approval of third-party vendors, and associated contracts for services, and approval of third-party vendor payments.</w:t>
      </w:r>
    </w:p>
    <w:p>
      <w:pPr>
        <w:spacing w:after="0" w:line="111"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This material weakness was considered in determining the nature, timing, and extent of audit tests applied in our audit of the consolidated financial statements as of and for the year ended December 31, 2022, of the Company, and this report does not affect our report on such financial statements.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February 15, 2023, our board of directors amended and restated the Company's bylaws to, among other things, (1) revise procedures and disclosure requirements for the nomination of directors and the submission of proposals for consideration at meetings of the Company’s stockholders, including, adding a requirement that a stockholder seeking to nominate director(s) at an annual meeting deliver to the Company reasonable evidence that it has complied with the requirements of Rule 14a-19 of the Securities Exchange Act of 1934, as amended, (2) implement majority voting in uncontested elections of directors, (3) reserve a white card for the Company's use in proxy contests, and (4) make certain administrative, modernizing, clarifying, and conforming changes.</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Amended and Restated Bylaws, filed as Exhibit 3.3 to this Annual Report on Form 10-K, and incorporated by reference herein.</w:t>
      </w:r>
    </w:p>
    <w:p>
      <w:pPr>
        <w:spacing w:after="0" w:line="11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February 20, 2023, Scott Maw informed Root, Inc. (the "Company") of his intention to resign from the Company's board of directors, and its Audit, Risk and Finance Committee on which he serves as a member, effective February 28, 2023. Mr. Maw’s resignation was not related to any disagreement with the Company on any matter relating to the Company’s operations, policies or practices.</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20, 2023, Daniel Rosenthal, the Company’s Chief Revenue and Operating Officer, informed the Company of his plan to resign as an executive officer of the Company effective March 23, 2023, and from the Company’s board of directors effective immediately. To ensure a smooth transition of his responsibilities, the Company and Mr. Rosenthal entered into a Separation and Transition Agreement dated February 20, 2023 (the “Transition Agreement”), pursuant to which Mr. Rosenthal will provide transitional services as respects certain in-process projects.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the Transition Agreement, and subject to continued compliance with the terms thereof, Mr. Rosenthal will be entitled to the following through March 23, 2023: regular base salary; standard employee benefits; continued vesting and settlement of outstanding equity awards pursuant to their terms; and 2022 annual bonus in the amount of $750,000 to be paid in early 2023 in the normal course.</w:t>
      </w:r>
    </w:p>
    <w:p>
      <w:pPr>
        <w:spacing w:after="0" w:line="13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pursuant to the Transition Agreement, provided Mr. Rosenthal timely elects continued coverage, the Company will pay the Company share of COBRA premiums for Mr. Rosenthal and his covered dependents, until December 31, 2023, or until such earlier date as further described in the Transition Agreement. He will not be eligible for any equity grants from the Company during calendar year 2023 or thereafter and will forfeit all unvested equity and other awards.</w:t>
      </w:r>
    </w:p>
    <w:p>
      <w:pPr>
        <w:spacing w:after="0" w:line="13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Transition Agreement contains customary restrictions and business protection provisions. Mr. Rosenthal’s receipt of the payments and benefits under the Transition Agreement is contingent upon Mr. Rosenthal’s provision of a full release of claims, as well as expiration of the statutory revocation period without the Transition Agreement and the release being revoked.</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description of the Transition Agreement is qualified in its entirety by reference to the full text of the Transition Agreement, a copy of which is filed as Exhibit 10.34 to this Annual Report on Form 10-K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40" w:lineRule="exact"/>
        <w:rPr>
          <w:sz w:val="20"/>
          <w:szCs w:val="20"/>
          <w:color w:val="auto"/>
        </w:rPr>
      </w:pPr>
    </w:p>
    <w:p>
      <w:pPr>
        <w:ind w:right="4139"/>
        <w:spacing w:after="0" w:line="47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6" w:name="page147"/>
    <w:bookmarkEnd w:id="146"/>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in the definitive proxy statement for our Annual Meeting of Stockholders to be held on or about June 6, 2023. This proxy statement is referred to in this report as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47" w:name="page148"/>
    <w:bookmarkEnd w:id="14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8" w:name="page149"/>
    <w:bookmarkEnd w:id="148"/>
    <w:p>
      <w:pPr>
        <w:spacing w:after="0" w:line="140" w:lineRule="exact"/>
        <w:rPr>
          <w:sz w:val="20"/>
          <w:szCs w:val="20"/>
          <w:color w:val="auto"/>
        </w:rPr>
      </w:pPr>
    </w:p>
    <w:p>
      <w:pPr>
        <w:ind w:right="1619"/>
        <w:spacing w:after="0" w:line="511" w:lineRule="auto"/>
        <w:rPr>
          <w:sz w:val="20"/>
          <w:szCs w:val="20"/>
          <w:color w:val="auto"/>
        </w:rPr>
      </w:pPr>
      <w:r>
        <w:rPr>
          <w:rFonts w:ascii="Arial" w:cs="Arial" w:eastAsia="Arial" w:hAnsi="Arial"/>
          <w:sz w:val="17"/>
          <w:szCs w:val="17"/>
          <w:b w:val="1"/>
          <w:bCs w:val="1"/>
          <w:color w:val="auto"/>
        </w:rPr>
        <w:t xml:space="preserve">Item 12. Security Ownership of Certain Beneficial Owners and Management and Related Stockholder Matters </w:t>
      </w:r>
      <w:r>
        <w:rPr>
          <w:rFonts w:ascii="Arial" w:cs="Arial" w:eastAsia="Arial" w:hAnsi="Arial"/>
          <w:sz w:val="17"/>
          <w:szCs w:val="17"/>
          <w:color w:val="auto"/>
        </w:rPr>
        <w:t>The information required by this Item is incorporated by reference to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9" w:name="page150"/>
    <w:bookmarkEnd w:id="149"/>
    <w:p>
      <w:pPr>
        <w:spacing w:after="0" w:line="140" w:lineRule="exact"/>
        <w:rPr>
          <w:sz w:val="20"/>
          <w:szCs w:val="20"/>
          <w:color w:val="auto"/>
        </w:rPr>
      </w:pPr>
    </w:p>
    <w:p>
      <w:pPr>
        <w:ind w:right="3079"/>
        <w:spacing w:after="0" w:line="558" w:lineRule="auto"/>
        <w:rPr>
          <w:sz w:val="20"/>
          <w:szCs w:val="20"/>
          <w:color w:val="auto"/>
        </w:rPr>
      </w:pPr>
      <w:r>
        <w:rPr>
          <w:rFonts w:ascii="Arial" w:cs="Arial" w:eastAsia="Arial" w:hAnsi="Arial"/>
          <w:sz w:val="16"/>
          <w:szCs w:val="16"/>
          <w:b w:val="1"/>
          <w:bCs w:val="1"/>
          <w:color w:val="auto"/>
        </w:rPr>
        <w:t xml:space="preserve">Item 13. Certain Relationships and Related Party Transactions, and Director Independence </w:t>
      </w:r>
      <w:r>
        <w:rPr>
          <w:rFonts w:ascii="Arial" w:cs="Arial" w:eastAsia="Arial" w:hAnsi="Arial"/>
          <w:sz w:val="16"/>
          <w:szCs w:val="16"/>
          <w:color w:val="auto"/>
        </w:rPr>
        <w:t>The information required by this Item is incorporated by reference to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0" w:name="page151"/>
    <w:bookmarkEnd w:id="15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the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1" w:name="page152"/>
    <w:bookmarkEnd w:id="15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240"/>
          </w:cols>
          <w:pgMar w:left="320" w:top="1440"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372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4.5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10.7#</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10.8#</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10.10#</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29"/>
          </w:tcPr>
          <w:p>
            <w:pPr>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 File Number</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Filing Date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 Herewith</w:t>
            </w:r>
          </w:p>
        </w:tc>
      </w:tr>
      <w:tr>
        <w:trPr>
          <w:trHeight w:val="39"/>
        </w:trPr>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540" w:type="dxa"/>
            <w:vAlign w:val="bottom"/>
            <w:gridSpan w:val="34"/>
          </w:tcPr>
          <w:p>
            <w:pPr>
              <w:spacing w:after="0"/>
              <w:rPr>
                <w:rFonts w:ascii="Arial" w:cs="Arial" w:eastAsia="Arial" w:hAnsi="Arial"/>
                <w:sz w:val="16"/>
                <w:szCs w:val="16"/>
                <w:color w:val="0000FF"/>
                <w:w w:val="97"/>
              </w:rPr>
            </w:pPr>
            <w:hyperlink r:id="rId173">
              <w:r>
                <w:rPr>
                  <w:rFonts w:ascii="Arial" w:cs="Arial" w:eastAsia="Arial" w:hAnsi="Arial"/>
                  <w:sz w:val="16"/>
                  <w:szCs w:val="16"/>
                  <w:color w:val="0000FF"/>
                  <w:w w:val="97"/>
                </w:rPr>
                <w:t>Amended and Restated Certificate of Incorporation</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001-39568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30, 2020</w:t>
            </w:r>
          </w:p>
        </w:tc>
        <w:tc>
          <w:tcPr>
            <w:tcW w:w="136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of Root,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4"/>
          </w:tcPr>
          <w:p>
            <w:pPr>
              <w:spacing w:after="0"/>
              <w:rPr>
                <w:rFonts w:ascii="Arial" w:cs="Arial" w:eastAsia="Arial" w:hAnsi="Arial"/>
                <w:sz w:val="16"/>
                <w:szCs w:val="16"/>
                <w:color w:val="0000FF"/>
                <w:w w:val="94"/>
              </w:rPr>
            </w:pPr>
            <w:hyperlink r:id="rId174">
              <w:r>
                <w:rPr>
                  <w:rFonts w:ascii="Arial" w:cs="Arial" w:eastAsia="Arial" w:hAnsi="Arial"/>
                  <w:sz w:val="16"/>
                  <w:szCs w:val="16"/>
                  <w:color w:val="0000FF"/>
                  <w:w w:val="94"/>
                </w:rPr>
                <w:t>Certificate of Amendment to Amended and Restated</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15,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Certificate of Incorporation of Root, Inc.</w:t>
              </w:r>
            </w:hyperlink>
          </w:p>
        </w:tc>
        <w:tc>
          <w:tcPr>
            <w:tcW w:w="8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w w:val="91"/>
              </w:rPr>
              <w:t>Amended and Restated Bylaws of Root, Inc.</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77"/>
        </w:trPr>
        <w:tc>
          <w:tcPr>
            <w:tcW w:w="20" w:type="dxa"/>
            <w:vAlign w:val="bottom"/>
          </w:tcPr>
          <w:p>
            <w:pPr>
              <w:spacing w:after="0"/>
              <w:rPr>
                <w:sz w:val="24"/>
                <w:szCs w:val="24"/>
                <w:color w:val="auto"/>
              </w:rPr>
            </w:pPr>
          </w:p>
        </w:tc>
        <w:tc>
          <w:tcPr>
            <w:tcW w:w="3540" w:type="dxa"/>
            <w:vAlign w:val="bottom"/>
            <w:gridSpan w:val="34"/>
          </w:tcPr>
          <w:p>
            <w:pPr>
              <w:spacing w:after="0"/>
              <w:rPr>
                <w:rFonts w:ascii="Arial" w:cs="Arial" w:eastAsia="Arial" w:hAnsi="Arial"/>
                <w:sz w:val="16"/>
                <w:szCs w:val="16"/>
                <w:color w:val="0000FF"/>
              </w:rPr>
            </w:pPr>
            <w:hyperlink r:id="rId175">
              <w:r>
                <w:rPr>
                  <w:rFonts w:ascii="Arial" w:cs="Arial" w:eastAsia="Arial" w:hAnsi="Arial"/>
                  <w:sz w:val="16"/>
                  <w:szCs w:val="16"/>
                  <w:color w:val="0000FF"/>
                </w:rPr>
                <w:t>Certificate of Designations of Series A Preferred</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1, 2021</w:t>
            </w:r>
          </w:p>
        </w:tc>
        <w:tc>
          <w:tcPr>
            <w:tcW w:w="13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160" w:type="dxa"/>
            <w:vAlign w:val="bottom"/>
            <w:tcBorders>
              <w:top w:val="single" w:sz="8" w:color="0000FF"/>
            </w:tcBorders>
            <w:gridSpan w:val="23"/>
          </w:tcPr>
          <w:p>
            <w:pPr>
              <w:spacing w:after="0" w:line="142" w:lineRule="exact"/>
              <w:rPr>
                <w:rFonts w:ascii="Arial" w:cs="Arial" w:eastAsia="Arial" w:hAnsi="Arial"/>
                <w:sz w:val="16"/>
                <w:szCs w:val="16"/>
                <w:color w:val="0000FF"/>
                <w:w w:val="91"/>
              </w:rPr>
            </w:pPr>
            <w:hyperlink r:id="rId175">
              <w:r>
                <w:rPr>
                  <w:rFonts w:ascii="Arial" w:cs="Arial" w:eastAsia="Arial" w:hAnsi="Arial"/>
                  <w:sz w:val="16"/>
                  <w:szCs w:val="16"/>
                  <w:color w:val="0000FF"/>
                  <w:w w:val="91"/>
                </w:rPr>
                <w:t>Stock, filed with the Delaware Secretary of State</w:t>
              </w:r>
            </w:hyperlink>
          </w:p>
        </w:tc>
        <w:tc>
          <w:tcPr>
            <w:tcW w:w="380" w:type="dxa"/>
            <w:vAlign w:val="bottom"/>
            <w:gridSpan w:val="11"/>
          </w:tcPr>
          <w:p>
            <w:pPr>
              <w:ind w:left="40"/>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on</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October 1,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16"/>
          </w:tcPr>
          <w:p>
            <w:pPr>
              <w:spacing w:after="0"/>
              <w:rPr>
                <w:rFonts w:ascii="Arial" w:cs="Arial" w:eastAsia="Arial" w:hAnsi="Arial"/>
                <w:sz w:val="16"/>
                <w:szCs w:val="16"/>
                <w:color w:val="0000FF"/>
                <w:w w:val="93"/>
              </w:rPr>
            </w:pPr>
            <w:hyperlink r:id="rId176">
              <w:r>
                <w:rPr>
                  <w:rFonts w:ascii="Arial" w:cs="Arial" w:eastAsia="Arial" w:hAnsi="Arial"/>
                  <w:sz w:val="16"/>
                  <w:szCs w:val="16"/>
                  <w:color w:val="0000FF"/>
                  <w:w w:val="93"/>
                </w:rPr>
                <w:t>Form of Class A common stock certificate.</w:t>
              </w:r>
            </w:hyperlink>
          </w:p>
        </w:tc>
        <w:tc>
          <w:tcPr>
            <w:tcW w:w="720" w:type="dxa"/>
            <w:vAlign w:val="bottom"/>
            <w:gridSpan w:val="18"/>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 2020</w:t>
            </w:r>
          </w:p>
        </w:tc>
        <w:tc>
          <w:tcPr>
            <w:tcW w:w="136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540" w:type="dxa"/>
            <w:vAlign w:val="bottom"/>
            <w:gridSpan w:val="34"/>
          </w:tcPr>
          <w:p>
            <w:pPr>
              <w:spacing w:after="0"/>
              <w:rPr>
                <w:sz w:val="20"/>
                <w:szCs w:val="20"/>
                <w:color w:val="auto"/>
              </w:rPr>
            </w:pPr>
            <w:r>
              <w:rPr>
                <w:rFonts w:ascii="Arial" w:cs="Arial" w:eastAsia="Arial" w:hAnsi="Arial"/>
                <w:sz w:val="16"/>
                <w:szCs w:val="16"/>
                <w:color w:val="0000FF"/>
              </w:rPr>
              <w:t>Description of Securities</w:t>
            </w:r>
            <w:r>
              <w:rPr>
                <w:rFonts w:ascii="Arial" w:cs="Arial" w:eastAsia="Arial" w:hAnsi="Arial"/>
                <w:sz w:val="16"/>
                <w:szCs w:val="16"/>
                <w:color w:val="000000"/>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540" w:type="dxa"/>
            <w:vAlign w:val="bottom"/>
            <w:gridSpan w:val="34"/>
          </w:tcPr>
          <w:p>
            <w:pPr>
              <w:spacing w:after="0"/>
              <w:rPr>
                <w:rFonts w:ascii="Arial" w:cs="Arial" w:eastAsia="Arial" w:hAnsi="Arial"/>
                <w:sz w:val="16"/>
                <w:szCs w:val="16"/>
                <w:color w:val="0000FF"/>
              </w:rPr>
            </w:pPr>
            <w:hyperlink r:id="rId177">
              <w:r>
                <w:rPr>
                  <w:rFonts w:ascii="Arial" w:cs="Arial" w:eastAsia="Arial" w:hAnsi="Arial"/>
                  <w:sz w:val="16"/>
                  <w:szCs w:val="16"/>
                  <w:color w:val="0000FF"/>
                </w:rPr>
                <w:t>Common Stock Purchase Warrants, dated as of</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1, 2021</w:t>
            </w:r>
          </w:p>
        </w:tc>
        <w:tc>
          <w:tcPr>
            <w:tcW w:w="1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4"/>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October 1, 2021, by and between Root, Inc. and</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Carvana Group, LLC</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4"/>
          </w:tcPr>
          <w:p>
            <w:pPr>
              <w:spacing w:after="0"/>
              <w:rPr>
                <w:rFonts w:ascii="Arial" w:cs="Arial" w:eastAsia="Arial" w:hAnsi="Arial"/>
                <w:sz w:val="16"/>
                <w:szCs w:val="16"/>
                <w:color w:val="0000FF"/>
                <w:w w:val="94"/>
              </w:rPr>
            </w:pPr>
            <w:hyperlink r:id="rId178">
              <w:r>
                <w:rPr>
                  <w:rFonts w:ascii="Arial" w:cs="Arial" w:eastAsia="Arial" w:hAnsi="Arial"/>
                  <w:sz w:val="16"/>
                  <w:szCs w:val="16"/>
                  <w:color w:val="0000FF"/>
                  <w:w w:val="94"/>
                </w:rPr>
                <w:t>Form of Common Stock Purchase Warrant (Tranche</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27,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88"/>
              </w:rPr>
            </w:pPr>
            <w:hyperlink r:id="rId178">
              <w:r>
                <w:rPr>
                  <w:rFonts w:ascii="Arial" w:cs="Arial" w:eastAsia="Arial" w:hAnsi="Arial"/>
                  <w:sz w:val="16"/>
                  <w:szCs w:val="16"/>
                  <w:color w:val="0000FF"/>
                  <w:w w:val="88"/>
                </w:rPr>
                <w:t>1)</w:t>
              </w:r>
              <w:r>
                <w:rPr>
                  <w:rFonts w:ascii="Arial" w:cs="Arial" w:eastAsia="Arial" w:hAnsi="Arial"/>
                  <w:sz w:val="16"/>
                  <w:szCs w:val="16"/>
                  <w:u w:val="single" w:color="auto"/>
                  <w:color w:val="0000FF"/>
                  <w:w w:val="88"/>
                </w:rPr>
                <w:t>,</w:t>
              </w:r>
              <w:r>
                <w:rPr>
                  <w:rFonts w:ascii="Arial" w:cs="Arial" w:eastAsia="Arial" w:hAnsi="Arial"/>
                  <w:sz w:val="16"/>
                  <w:szCs w:val="16"/>
                  <w:color w:val="0000FF"/>
                  <w:w w:val="88"/>
                </w:rPr>
                <w:t xml:space="preserve"> dated January 26, 2022</w:t>
              </w:r>
            </w:hyperlink>
          </w:p>
        </w:tc>
        <w:tc>
          <w:tcPr>
            <w:tcW w:w="170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4"/>
          </w:tcPr>
          <w:p>
            <w:pPr>
              <w:spacing w:after="0"/>
              <w:rPr>
                <w:rFonts w:ascii="Arial" w:cs="Arial" w:eastAsia="Arial" w:hAnsi="Arial"/>
                <w:sz w:val="16"/>
                <w:szCs w:val="16"/>
                <w:color w:val="0000FF"/>
                <w:w w:val="94"/>
              </w:rPr>
            </w:pPr>
            <w:hyperlink r:id="rId179">
              <w:r>
                <w:rPr>
                  <w:rFonts w:ascii="Arial" w:cs="Arial" w:eastAsia="Arial" w:hAnsi="Arial"/>
                  <w:sz w:val="16"/>
                  <w:szCs w:val="16"/>
                  <w:color w:val="0000FF"/>
                  <w:w w:val="94"/>
                </w:rPr>
                <w:t>Form of Common Stock Purchase Warrant (Tranche</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January 27,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3"/>
              </w:rPr>
            </w:pPr>
            <w:hyperlink r:id="rId179">
              <w:r>
                <w:rPr>
                  <w:rFonts w:ascii="Arial" w:cs="Arial" w:eastAsia="Arial" w:hAnsi="Arial"/>
                  <w:sz w:val="16"/>
                  <w:szCs w:val="16"/>
                  <w:color w:val="0000FF"/>
                  <w:w w:val="83"/>
                </w:rPr>
                <w:t>2)</w:t>
              </w:r>
            </w:hyperlink>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0000FF"/>
            </w:tcBorders>
            <w:gridSpan w:val="22"/>
          </w:tcPr>
          <w:p>
            <w:pPr>
              <w:spacing w:after="0"/>
              <w:rPr>
                <w:rFonts w:ascii="Arial" w:cs="Arial" w:eastAsia="Arial" w:hAnsi="Arial"/>
                <w:sz w:val="16"/>
                <w:szCs w:val="16"/>
                <w:color w:val="0000FF"/>
                <w:w w:val="90"/>
              </w:rPr>
            </w:pPr>
            <w:hyperlink r:id="rId180">
              <w:r>
                <w:rPr>
                  <w:rFonts w:ascii="Arial" w:cs="Arial" w:eastAsia="Arial" w:hAnsi="Arial"/>
                  <w:sz w:val="16"/>
                  <w:szCs w:val="16"/>
                  <w:color w:val="0000FF"/>
                  <w:w w:val="90"/>
                </w:rPr>
                <w:t>Root, Inc. 2020 Employee Stock Purchase Plan.</w:t>
              </w:r>
            </w:hyperlink>
          </w:p>
        </w:tc>
        <w:tc>
          <w:tcPr>
            <w:tcW w:w="420" w:type="dxa"/>
            <w:vAlign w:val="bottom"/>
            <w:gridSpan w:val="12"/>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333-256076</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80" w:type="dxa"/>
            <w:vAlign w:val="bottom"/>
          </w:tcPr>
          <w:p>
            <w:pPr>
              <w:spacing w:after="0"/>
              <w:rPr>
                <w:sz w:val="21"/>
                <w:szCs w:val="21"/>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May 13, 2021</w:t>
            </w:r>
          </w:p>
        </w:tc>
        <w:tc>
          <w:tcPr>
            <w:tcW w:w="136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440" w:type="dxa"/>
            <w:vAlign w:val="bottom"/>
            <w:tcBorders>
              <w:bottom w:val="single" w:sz="8" w:color="0000FF"/>
            </w:tcBorders>
            <w:gridSpan w:val="31"/>
          </w:tcPr>
          <w:p>
            <w:pPr>
              <w:spacing w:after="0"/>
              <w:rPr>
                <w:rFonts w:ascii="Arial" w:cs="Arial" w:eastAsia="Arial" w:hAnsi="Arial"/>
                <w:sz w:val="16"/>
                <w:szCs w:val="16"/>
                <w:color w:val="0000FF"/>
                <w:w w:val="91"/>
              </w:rPr>
            </w:pPr>
            <w:hyperlink r:id="rId181">
              <w:r>
                <w:rPr>
                  <w:rFonts w:ascii="Arial" w:cs="Arial" w:eastAsia="Arial" w:hAnsi="Arial"/>
                  <w:sz w:val="16"/>
                  <w:szCs w:val="16"/>
                  <w:color w:val="0000FF"/>
                  <w:w w:val="91"/>
                </w:rPr>
                <w:t>First Amendment to 2020 Employee Stock Purchase</w:t>
              </w:r>
            </w:hyperlink>
          </w:p>
        </w:tc>
        <w:tc>
          <w:tcPr>
            <w:tcW w:w="100" w:type="dxa"/>
            <w:vAlign w:val="bottom"/>
            <w:gridSpan w:val="3"/>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9, 2022</w:t>
            </w:r>
          </w:p>
        </w:tc>
        <w:tc>
          <w:tcPr>
            <w:tcW w:w="136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540" w:type="dxa"/>
            <w:vAlign w:val="bottom"/>
            <w:gridSpan w:val="34"/>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Plan</w:t>
              </w:r>
            </w:hyperlink>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500" w:type="dxa"/>
            <w:vAlign w:val="bottom"/>
            <w:tcBorders>
              <w:bottom w:val="single" w:sz="8" w:color="0000FF"/>
            </w:tcBorders>
            <w:gridSpan w:val="12"/>
          </w:tcPr>
          <w:p>
            <w:pPr>
              <w:spacing w:after="0"/>
              <w:rPr>
                <w:rFonts w:ascii="Arial" w:cs="Arial" w:eastAsia="Arial" w:hAnsi="Arial"/>
                <w:sz w:val="16"/>
                <w:szCs w:val="16"/>
                <w:color w:val="0000FF"/>
                <w:w w:val="92"/>
              </w:rPr>
            </w:pPr>
            <w:hyperlink r:id="rId182">
              <w:r>
                <w:rPr>
                  <w:rFonts w:ascii="Arial" w:cs="Arial" w:eastAsia="Arial" w:hAnsi="Arial"/>
                  <w:sz w:val="16"/>
                  <w:szCs w:val="16"/>
                  <w:color w:val="0000FF"/>
                  <w:w w:val="92"/>
                </w:rPr>
                <w:t>Root, Inc. 2020 Equity Incentive Plan.</w:t>
              </w:r>
            </w:hyperlink>
          </w:p>
        </w:tc>
        <w:tc>
          <w:tcPr>
            <w:tcW w:w="1040" w:type="dxa"/>
            <w:vAlign w:val="bottom"/>
            <w:gridSpan w:val="22"/>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 2020</w:t>
            </w:r>
          </w:p>
        </w:tc>
        <w:tc>
          <w:tcPr>
            <w:tcW w:w="136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120" w:type="dxa"/>
            <w:vAlign w:val="bottom"/>
            <w:tcBorders>
              <w:bottom w:val="single" w:sz="8" w:color="0000FF"/>
            </w:tcBorders>
            <w:gridSpan w:val="22"/>
          </w:tcPr>
          <w:p>
            <w:pPr>
              <w:spacing w:after="0"/>
              <w:rPr>
                <w:rFonts w:ascii="Arial" w:cs="Arial" w:eastAsia="Arial" w:hAnsi="Arial"/>
                <w:sz w:val="16"/>
                <w:szCs w:val="16"/>
                <w:color w:val="0000FF"/>
                <w:w w:val="92"/>
              </w:rPr>
            </w:pPr>
            <w:hyperlink r:id="rId183">
              <w:r>
                <w:rPr>
                  <w:rFonts w:ascii="Arial" w:cs="Arial" w:eastAsia="Arial" w:hAnsi="Arial"/>
                  <w:sz w:val="16"/>
                  <w:szCs w:val="16"/>
                  <w:color w:val="0000FF"/>
                  <w:w w:val="92"/>
                </w:rPr>
                <w:t>First Amendment to 2020 Equity Incentive Plan</w:t>
              </w:r>
            </w:hyperlink>
          </w:p>
        </w:tc>
        <w:tc>
          <w:tcPr>
            <w:tcW w:w="420" w:type="dxa"/>
            <w:vAlign w:val="bottom"/>
            <w:gridSpan w:val="12"/>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9, 2022</w:t>
            </w:r>
          </w:p>
        </w:tc>
        <w:tc>
          <w:tcPr>
            <w:tcW w:w="13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540" w:type="dxa"/>
            <w:vAlign w:val="bottom"/>
            <w:gridSpan w:val="34"/>
          </w:tcPr>
          <w:p>
            <w:pPr>
              <w:spacing w:after="0"/>
              <w:rPr>
                <w:rFonts w:ascii="Arial" w:cs="Arial" w:eastAsia="Arial" w:hAnsi="Arial"/>
                <w:sz w:val="16"/>
                <w:szCs w:val="16"/>
                <w:color w:val="0000FF"/>
              </w:rPr>
            </w:pPr>
            <w:hyperlink r:id="rId184">
              <w:r>
                <w:rPr>
                  <w:rFonts w:ascii="Arial" w:cs="Arial" w:eastAsia="Arial" w:hAnsi="Arial"/>
                  <w:sz w:val="16"/>
                  <w:szCs w:val="16"/>
                  <w:color w:val="0000FF"/>
                </w:rPr>
                <w:t>Root, Inc. Amended and Restated 2015 Equity</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5, 2020</w:t>
            </w:r>
          </w:p>
        </w:tc>
        <w:tc>
          <w:tcPr>
            <w:tcW w:w="1360" w:type="dxa"/>
            <w:vAlign w:val="bottom"/>
          </w:tcPr>
          <w:p>
            <w:pPr>
              <w:spacing w:after="0"/>
              <w:rPr>
                <w:sz w:val="19"/>
                <w:szCs w:val="19"/>
                <w:color w:val="auto"/>
              </w:rPr>
            </w:pPr>
          </w:p>
        </w:tc>
      </w:tr>
      <w:tr>
        <w:trPr>
          <w:trHeight w:val="142"/>
        </w:trPr>
        <w:tc>
          <w:tcPr>
            <w:tcW w:w="2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5"/>
              </w:rPr>
            </w:pPr>
            <w:hyperlink r:id="rId184">
              <w:r>
                <w:rPr>
                  <w:rFonts w:ascii="Arial" w:cs="Arial" w:eastAsia="Arial" w:hAnsi="Arial"/>
                  <w:sz w:val="16"/>
                  <w:szCs w:val="16"/>
                  <w:color w:val="0000FF"/>
                  <w:w w:val="95"/>
                </w:rPr>
                <w:t>Incentive Plan.</w:t>
              </w:r>
            </w:hyperlink>
          </w:p>
        </w:tc>
        <w:tc>
          <w:tcPr>
            <w:tcW w:w="2000" w:type="dxa"/>
            <w:vAlign w:val="bottom"/>
            <w:tcBorders>
              <w:top w:val="single" w:sz="8" w:color="0000FF"/>
            </w:tcBorders>
            <w:gridSpan w:val="15"/>
          </w:tcPr>
          <w:p>
            <w:pPr>
              <w:spacing w:after="0"/>
              <w:rPr>
                <w:sz w:val="12"/>
                <w:szCs w:val="12"/>
                <w:color w:val="auto"/>
              </w:rPr>
            </w:pPr>
          </w:p>
        </w:tc>
        <w:tc>
          <w:tcPr>
            <w:tcW w:w="1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0000FF"/>
            </w:tcBorders>
            <w:gridSpan w:val="24"/>
          </w:tcPr>
          <w:p>
            <w:pPr>
              <w:spacing w:after="0"/>
              <w:rPr>
                <w:rFonts w:ascii="Arial" w:cs="Arial" w:eastAsia="Arial" w:hAnsi="Arial"/>
                <w:sz w:val="16"/>
                <w:szCs w:val="16"/>
                <w:color w:val="0000FF"/>
                <w:w w:val="90"/>
              </w:rPr>
            </w:pPr>
            <w:hyperlink r:id="rId185">
              <w:r>
                <w:rPr>
                  <w:rFonts w:ascii="Arial" w:cs="Arial" w:eastAsia="Arial" w:hAnsi="Arial"/>
                  <w:sz w:val="16"/>
                  <w:szCs w:val="16"/>
                  <w:color w:val="0000FF"/>
                  <w:w w:val="90"/>
                </w:rPr>
                <w:t>First Amendment to 2015 Amended and Restated</w:t>
              </w:r>
            </w:hyperlink>
          </w:p>
        </w:tc>
        <w:tc>
          <w:tcPr>
            <w:tcW w:w="320" w:type="dxa"/>
            <w:vAlign w:val="bottom"/>
            <w:gridSpan w:val="10"/>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9, 2022</w:t>
            </w:r>
          </w:p>
        </w:tc>
        <w:tc>
          <w:tcPr>
            <w:tcW w:w="1360" w:type="dxa"/>
            <w:vAlign w:val="bottom"/>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540" w:type="dxa"/>
            <w:vAlign w:val="bottom"/>
            <w:gridSpan w:val="34"/>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Equity Incentive Plan</w:t>
              </w:r>
            </w:hyperlink>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540" w:type="dxa"/>
            <w:vAlign w:val="bottom"/>
            <w:gridSpan w:val="34"/>
          </w:tcPr>
          <w:p>
            <w:pPr>
              <w:spacing w:after="0"/>
              <w:rPr>
                <w:rFonts w:ascii="Arial" w:cs="Arial" w:eastAsia="Arial" w:hAnsi="Arial"/>
                <w:sz w:val="16"/>
                <w:szCs w:val="16"/>
                <w:color w:val="0000FF"/>
                <w:w w:val="97"/>
              </w:rPr>
            </w:pPr>
            <w:hyperlink r:id="rId186">
              <w:r>
                <w:rPr>
                  <w:rFonts w:ascii="Arial" w:cs="Arial" w:eastAsia="Arial" w:hAnsi="Arial"/>
                  <w:sz w:val="16"/>
                  <w:szCs w:val="16"/>
                  <w:color w:val="0000FF"/>
                  <w:w w:val="97"/>
                </w:rPr>
                <w:t>Executive Employment Agreement by and between</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23, 2022</w:t>
            </w:r>
          </w:p>
        </w:tc>
        <w:tc>
          <w:tcPr>
            <w:tcW w:w="13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Caret Holdings, Inc. and Hemal Shah, dated</w:t>
              </w:r>
            </w:hyperlink>
          </w:p>
        </w:tc>
        <w:tc>
          <w:tcPr>
            <w:tcW w:w="6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89"/>
              </w:rPr>
            </w:pPr>
            <w:hyperlink r:id="rId186">
              <w:r>
                <w:rPr>
                  <w:rFonts w:ascii="Arial" w:cs="Arial" w:eastAsia="Arial" w:hAnsi="Arial"/>
                  <w:sz w:val="16"/>
                  <w:szCs w:val="16"/>
                  <w:color w:val="0000FF"/>
                  <w:w w:val="89"/>
                </w:rPr>
                <w:t>December 16, 2021</w:t>
              </w:r>
            </w:hyperlink>
          </w:p>
        </w:tc>
        <w:tc>
          <w:tcPr>
            <w:tcW w:w="15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7"/>
          </w:tcPr>
          <w:p>
            <w:pPr>
              <w:spacing w:after="0"/>
              <w:rPr>
                <w:sz w:val="12"/>
                <w:szCs w:val="12"/>
                <w:color w:val="auto"/>
              </w:rPr>
            </w:pPr>
          </w:p>
        </w:tc>
        <w:tc>
          <w:tcPr>
            <w:tcW w:w="160" w:type="dxa"/>
            <w:vAlign w:val="bottom"/>
            <w:gridSpan w:val="4"/>
          </w:tcPr>
          <w:p>
            <w:pPr>
              <w:spacing w:after="0"/>
              <w:rPr>
                <w:sz w:val="12"/>
                <w:szCs w:val="12"/>
                <w:color w:val="auto"/>
              </w:rPr>
            </w:pPr>
          </w:p>
        </w:tc>
        <w:tc>
          <w:tcPr>
            <w:tcW w:w="14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4"/>
          </w:tcPr>
          <w:p>
            <w:pPr>
              <w:spacing w:after="0"/>
              <w:rPr>
                <w:rFonts w:ascii="Arial" w:cs="Arial" w:eastAsia="Arial" w:hAnsi="Arial"/>
                <w:sz w:val="16"/>
                <w:szCs w:val="16"/>
                <w:color w:val="0000FF"/>
              </w:rPr>
            </w:pPr>
            <w:hyperlink r:id="rId187">
              <w:r>
                <w:rPr>
                  <w:rFonts w:ascii="Arial" w:cs="Arial" w:eastAsia="Arial" w:hAnsi="Arial"/>
                  <w:sz w:val="16"/>
                  <w:szCs w:val="16"/>
                  <w:color w:val="0000FF"/>
                </w:rPr>
                <w:t>Offer Letter by and between Root, Inc. and</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80" w:type="dxa"/>
            <w:vAlign w:val="bottom"/>
          </w:tcPr>
          <w:p>
            <w:pPr>
              <w:spacing w:after="0"/>
              <w:rPr>
                <w:sz w:val="21"/>
                <w:szCs w:val="21"/>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March 4, 2021</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1"/>
              </w:rPr>
            </w:pPr>
            <w:hyperlink r:id="rId187">
              <w:r>
                <w:rPr>
                  <w:rFonts w:ascii="Arial" w:cs="Arial" w:eastAsia="Arial" w:hAnsi="Arial"/>
                  <w:sz w:val="16"/>
                  <w:szCs w:val="16"/>
                  <w:color w:val="0000FF"/>
                  <w:w w:val="91"/>
                </w:rPr>
                <w:t>Alexander Timm, dated January 4, 2021.</w:t>
              </w:r>
            </w:hyperlink>
          </w:p>
        </w:tc>
        <w:tc>
          <w:tcPr>
            <w:tcW w:w="140" w:type="dxa"/>
            <w:vAlign w:val="bottom"/>
            <w:tcBorders>
              <w:top w:val="single" w:sz="8" w:color="0000FF"/>
            </w:tcBorders>
          </w:tcPr>
          <w:p>
            <w:pPr>
              <w:spacing w:after="0"/>
              <w:rPr>
                <w:sz w:val="12"/>
                <w:szCs w:val="12"/>
                <w:color w:val="auto"/>
              </w:rPr>
            </w:pPr>
          </w:p>
        </w:tc>
        <w:tc>
          <w:tcPr>
            <w:tcW w:w="80" w:type="dxa"/>
            <w:vAlign w:val="bottom"/>
            <w:gridSpan w:val="3"/>
          </w:tcPr>
          <w:p>
            <w:pPr>
              <w:spacing w:after="0"/>
              <w:rPr>
                <w:sz w:val="12"/>
                <w:szCs w:val="12"/>
                <w:color w:val="auto"/>
              </w:rPr>
            </w:pPr>
          </w:p>
        </w:tc>
        <w:tc>
          <w:tcPr>
            <w:tcW w:w="360" w:type="dxa"/>
            <w:vAlign w:val="bottom"/>
            <w:gridSpan w:val="7"/>
          </w:tcPr>
          <w:p>
            <w:pPr>
              <w:spacing w:after="0"/>
              <w:rPr>
                <w:sz w:val="12"/>
                <w:szCs w:val="12"/>
                <w:color w:val="auto"/>
              </w:rPr>
            </w:pPr>
          </w:p>
        </w:tc>
        <w:tc>
          <w:tcPr>
            <w:tcW w:w="160" w:type="dxa"/>
            <w:vAlign w:val="bottom"/>
            <w:gridSpan w:val="4"/>
          </w:tcPr>
          <w:p>
            <w:pPr>
              <w:spacing w:after="0"/>
              <w:rPr>
                <w:sz w:val="12"/>
                <w:szCs w:val="12"/>
                <w:color w:val="auto"/>
              </w:rPr>
            </w:pPr>
          </w:p>
        </w:tc>
        <w:tc>
          <w:tcPr>
            <w:tcW w:w="14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4"/>
          </w:tcPr>
          <w:p>
            <w:pPr>
              <w:spacing w:after="0"/>
              <w:rPr>
                <w:rFonts w:ascii="Arial" w:cs="Arial" w:eastAsia="Arial" w:hAnsi="Arial"/>
                <w:sz w:val="16"/>
                <w:szCs w:val="16"/>
                <w:color w:val="0000FF"/>
                <w:w w:val="94"/>
              </w:rPr>
            </w:pPr>
            <w:hyperlink r:id="rId188">
              <w:r>
                <w:rPr>
                  <w:rFonts w:ascii="Arial" w:cs="Arial" w:eastAsia="Arial" w:hAnsi="Arial"/>
                  <w:sz w:val="16"/>
                  <w:szCs w:val="16"/>
                  <w:color w:val="0000FF"/>
                  <w:w w:val="94"/>
                </w:rPr>
                <w:t>Amended and Restated Offer Letter by and between</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80" w:type="dxa"/>
            <w:vAlign w:val="bottom"/>
          </w:tcPr>
          <w:p>
            <w:pPr>
              <w:spacing w:after="0"/>
              <w:rPr>
                <w:sz w:val="21"/>
                <w:szCs w:val="21"/>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March 4, 2021</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3400" w:type="dxa"/>
            <w:vAlign w:val="bottom"/>
            <w:tcBorders>
              <w:top w:val="single" w:sz="8" w:color="0000FF"/>
            </w:tcBorders>
            <w:gridSpan w:val="29"/>
          </w:tcPr>
          <w:p>
            <w:pPr>
              <w:spacing w:after="0" w:line="142" w:lineRule="exact"/>
              <w:rPr>
                <w:rFonts w:ascii="Arial" w:cs="Arial" w:eastAsia="Arial" w:hAnsi="Arial"/>
                <w:sz w:val="16"/>
                <w:szCs w:val="16"/>
                <w:color w:val="0000FF"/>
                <w:w w:val="91"/>
              </w:rPr>
            </w:pPr>
            <w:hyperlink r:id="rId188">
              <w:r>
                <w:rPr>
                  <w:rFonts w:ascii="Arial" w:cs="Arial" w:eastAsia="Arial" w:hAnsi="Arial"/>
                  <w:sz w:val="16"/>
                  <w:szCs w:val="16"/>
                  <w:color w:val="0000FF"/>
                  <w:w w:val="91"/>
                </w:rPr>
                <w:t>Root, Inc. and Daniel Rosenthal, dated February 24,</w:t>
              </w:r>
            </w:hyperlink>
          </w:p>
        </w:tc>
        <w:tc>
          <w:tcPr>
            <w:tcW w:w="14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84"/>
              </w:rPr>
            </w:pPr>
            <w:hyperlink r:id="rId188">
              <w:r>
                <w:rPr>
                  <w:rFonts w:ascii="Arial" w:cs="Arial" w:eastAsia="Arial" w:hAnsi="Arial"/>
                  <w:sz w:val="16"/>
                  <w:szCs w:val="16"/>
                  <w:color w:val="0000FF"/>
                  <w:w w:val="84"/>
                </w:rPr>
                <w:t>2021.</w:t>
              </w:r>
            </w:hyperlink>
          </w:p>
        </w:tc>
        <w:tc>
          <w:tcPr>
            <w:tcW w:w="4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4"/>
          </w:tcPr>
          <w:p>
            <w:pPr>
              <w:spacing w:after="0"/>
              <w:rPr>
                <w:rFonts w:ascii="Arial" w:cs="Arial" w:eastAsia="Arial" w:hAnsi="Arial"/>
                <w:sz w:val="16"/>
                <w:szCs w:val="16"/>
                <w:color w:val="0000FF"/>
                <w:w w:val="99"/>
              </w:rPr>
            </w:pPr>
            <w:hyperlink r:id="rId189">
              <w:r>
                <w:rPr>
                  <w:rFonts w:ascii="Arial" w:cs="Arial" w:eastAsia="Arial" w:hAnsi="Arial"/>
                  <w:sz w:val="16"/>
                  <w:szCs w:val="16"/>
                  <w:color w:val="0000FF"/>
                  <w:w w:val="99"/>
                </w:rPr>
                <w:t>First Amendment to Amended and Restated Offer</w:t>
              </w:r>
            </w:hyperlink>
          </w:p>
        </w:tc>
        <w:tc>
          <w:tcPr>
            <w:tcW w:w="7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February 23,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32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Letter by and between Root, Inc. and Daniel</w:t>
              </w:r>
            </w:hyperlink>
          </w:p>
        </w:tc>
        <w:tc>
          <w:tcPr>
            <w:tcW w:w="300" w:type="dxa"/>
            <w:vAlign w:val="bottom"/>
            <w:gridSpan w:val="9"/>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89"/>
              </w:rPr>
            </w:pPr>
            <w:hyperlink r:id="rId189">
              <w:r>
                <w:rPr>
                  <w:rFonts w:ascii="Arial" w:cs="Arial" w:eastAsia="Arial" w:hAnsi="Arial"/>
                  <w:sz w:val="16"/>
                  <w:szCs w:val="16"/>
                  <w:color w:val="0000FF"/>
                  <w:w w:val="89"/>
                </w:rPr>
                <w:t>Rosenthal, dated February 23, 2022</w:t>
              </w:r>
            </w:hyperlink>
          </w:p>
        </w:tc>
        <w:tc>
          <w:tcPr>
            <w:tcW w:w="560" w:type="dxa"/>
            <w:vAlign w:val="bottom"/>
            <w:tcBorders>
              <w:top w:val="single" w:sz="8" w:color="0000FF"/>
            </w:tcBorders>
            <w:gridSpan w:val="7"/>
          </w:tcPr>
          <w:p>
            <w:pPr>
              <w:spacing w:after="0"/>
              <w:rPr>
                <w:sz w:val="12"/>
                <w:szCs w:val="12"/>
                <w:color w:val="auto"/>
              </w:rPr>
            </w:pPr>
          </w:p>
        </w:tc>
        <w:tc>
          <w:tcPr>
            <w:tcW w:w="660" w:type="dxa"/>
            <w:vAlign w:val="bottom"/>
            <w:gridSpan w:val="16"/>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2">
            <w:col w:w="540" w:space="720"/>
            <w:col w:w="9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2" w:name="page153"/>
    <w:bookmarkEnd w:id="152"/>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10.12#</w:t>
            </w:r>
          </w:p>
        </w:tc>
        <w:tc>
          <w:tcPr>
            <w:tcW w:w="3440" w:type="dxa"/>
            <w:vAlign w:val="bottom"/>
            <w:gridSpan w:val="31"/>
          </w:tcPr>
          <w:p>
            <w:pPr>
              <w:spacing w:after="0"/>
              <w:rPr>
                <w:rFonts w:ascii="Arial" w:cs="Arial" w:eastAsia="Arial" w:hAnsi="Arial"/>
                <w:sz w:val="16"/>
                <w:szCs w:val="16"/>
                <w:color w:val="0000FF"/>
                <w:w w:val="99"/>
              </w:rPr>
            </w:pPr>
            <w:hyperlink r:id="rId191">
              <w:r>
                <w:rPr>
                  <w:rFonts w:ascii="Arial" w:cs="Arial" w:eastAsia="Arial" w:hAnsi="Arial"/>
                  <w:sz w:val="16"/>
                  <w:szCs w:val="16"/>
                  <w:color w:val="0000FF"/>
                  <w:w w:val="99"/>
                </w:rPr>
                <w:t>First Amendment to Offer Letter by and between</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1"/>
              </w:rPr>
              <w:t>February 23, 2022</w:t>
            </w:r>
          </w:p>
        </w:tc>
      </w:tr>
      <w:tr>
        <w:trPr>
          <w:trHeight w:val="142"/>
        </w:trPr>
        <w:tc>
          <w:tcPr>
            <w:tcW w:w="126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3"/>
              </w:rPr>
            </w:pPr>
            <w:hyperlink r:id="rId191">
              <w:r>
                <w:rPr>
                  <w:rFonts w:ascii="Arial" w:cs="Arial" w:eastAsia="Arial" w:hAnsi="Arial"/>
                  <w:sz w:val="16"/>
                  <w:szCs w:val="16"/>
                  <w:color w:val="0000FF"/>
                  <w:w w:val="93"/>
                </w:rPr>
                <w:t>Root, Inc. and Alexander Timm, dated February</w:t>
              </w:r>
            </w:hyperlink>
          </w:p>
        </w:tc>
        <w:tc>
          <w:tcPr>
            <w:tcW w:w="220" w:type="dxa"/>
            <w:vAlign w:val="bottom"/>
            <w:tcBorders>
              <w:bottom w:val="single" w:sz="8" w:color="0000FF"/>
            </w:tcBorders>
            <w:gridSpan w:val="9"/>
          </w:tcPr>
          <w:p>
            <w:pPr>
              <w:spacing w:after="0" w:line="142" w:lineRule="exact"/>
              <w:rPr>
                <w:rFonts w:ascii="Arial" w:cs="Arial" w:eastAsia="Arial" w:hAnsi="Arial"/>
                <w:sz w:val="16"/>
                <w:szCs w:val="16"/>
                <w:color w:val="0000FF"/>
                <w:w w:val="89"/>
              </w:rPr>
            </w:pPr>
            <w:hyperlink r:id="rId191">
              <w:r>
                <w:rPr>
                  <w:rFonts w:ascii="Arial" w:cs="Arial" w:eastAsia="Arial" w:hAnsi="Arial"/>
                  <w:sz w:val="16"/>
                  <w:szCs w:val="16"/>
                  <w:color w:val="0000FF"/>
                  <w:w w:val="89"/>
                </w:rPr>
                <w:t>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20" w:type="dxa"/>
            <w:vAlign w:val="bottom"/>
            <w:tcBorders>
              <w:bottom w:val="single" w:sz="8" w:color="0000FF"/>
            </w:tcBorders>
          </w:tcPr>
          <w:p>
            <w:pPr>
              <w:spacing w:after="0" w:line="142" w:lineRule="exact"/>
              <w:rPr>
                <w:rFonts w:ascii="Arial" w:cs="Arial" w:eastAsia="Arial" w:hAnsi="Arial"/>
                <w:sz w:val="16"/>
                <w:szCs w:val="16"/>
                <w:color w:val="0000FF"/>
                <w:w w:val="84"/>
              </w:rPr>
            </w:pPr>
            <w:hyperlink r:id="rId191">
              <w:r>
                <w:rPr>
                  <w:rFonts w:ascii="Arial" w:cs="Arial" w:eastAsia="Arial" w:hAnsi="Arial"/>
                  <w:sz w:val="16"/>
                  <w:szCs w:val="16"/>
                  <w:color w:val="0000FF"/>
                  <w:w w:val="84"/>
                </w:rPr>
                <w:t>2022</w:t>
              </w:r>
            </w:hyperlink>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10.13#</w:t>
            </w:r>
          </w:p>
        </w:tc>
        <w:tc>
          <w:tcPr>
            <w:tcW w:w="3440" w:type="dxa"/>
            <w:vAlign w:val="bottom"/>
            <w:gridSpan w:val="31"/>
          </w:tcPr>
          <w:p>
            <w:pPr>
              <w:spacing w:after="0"/>
              <w:rPr>
                <w:rFonts w:ascii="Arial" w:cs="Arial" w:eastAsia="Arial" w:hAnsi="Arial"/>
                <w:sz w:val="16"/>
                <w:szCs w:val="16"/>
                <w:color w:val="0000FF"/>
              </w:rPr>
            </w:pPr>
            <w:hyperlink r:id="rId192">
              <w:r>
                <w:rPr>
                  <w:rFonts w:ascii="Arial" w:cs="Arial" w:eastAsia="Arial" w:hAnsi="Arial"/>
                  <w:sz w:val="16"/>
                  <w:szCs w:val="16"/>
                  <w:color w:val="0000FF"/>
                </w:rPr>
                <w:t>Executive Employment Agreement with Robert</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3"/>
              </w:rPr>
              <w:t>March 23, 2022</w:t>
            </w:r>
          </w:p>
        </w:tc>
      </w:tr>
      <w:tr>
        <w:trPr>
          <w:trHeight w:val="142"/>
        </w:trPr>
        <w:tc>
          <w:tcPr>
            <w:tcW w:w="1260" w:type="dxa"/>
            <w:vAlign w:val="bottom"/>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7"/>
              </w:rPr>
            </w:pPr>
            <w:hyperlink r:id="rId192">
              <w:r>
                <w:rPr>
                  <w:rFonts w:ascii="Arial" w:cs="Arial" w:eastAsia="Arial" w:hAnsi="Arial"/>
                  <w:sz w:val="16"/>
                  <w:szCs w:val="16"/>
                  <w:color w:val="0000FF"/>
                  <w:w w:val="87"/>
                </w:rPr>
                <w:t>Bateman</w:t>
              </w:r>
            </w:hyperlink>
          </w:p>
        </w:tc>
        <w:tc>
          <w:tcPr>
            <w:tcW w:w="2520" w:type="dxa"/>
            <w:vAlign w:val="bottom"/>
            <w:tcBorders>
              <w:top w:val="single" w:sz="8" w:color="0000FF"/>
            </w:tcBorders>
            <w:gridSpan w:val="15"/>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10.14#</w:t>
            </w:r>
          </w:p>
        </w:tc>
        <w:tc>
          <w:tcPr>
            <w:tcW w:w="3440" w:type="dxa"/>
            <w:vAlign w:val="bottom"/>
            <w:gridSpan w:val="31"/>
          </w:tcPr>
          <w:p>
            <w:pPr>
              <w:spacing w:after="0"/>
              <w:rPr>
                <w:rFonts w:ascii="Arial" w:cs="Arial" w:eastAsia="Arial" w:hAnsi="Arial"/>
                <w:sz w:val="16"/>
                <w:szCs w:val="16"/>
                <w:color w:val="0000FF"/>
              </w:rPr>
            </w:pPr>
            <w:hyperlink r:id="rId193">
              <w:r>
                <w:rPr>
                  <w:rFonts w:ascii="Arial" w:cs="Arial" w:eastAsia="Arial" w:hAnsi="Arial"/>
                  <w:sz w:val="16"/>
                  <w:szCs w:val="16"/>
                  <w:color w:val="0000FF"/>
                </w:rPr>
                <w:t>Executive Employment Agreement with Matt</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2"/>
              </w:rPr>
              <w:t>August 8, 2022</w:t>
            </w:r>
          </w:p>
        </w:tc>
      </w:tr>
      <w:tr>
        <w:trPr>
          <w:trHeight w:val="142"/>
        </w:trPr>
        <w:tc>
          <w:tcPr>
            <w:tcW w:w="1260" w:type="dxa"/>
            <w:vAlign w:val="bottom"/>
          </w:tcPr>
          <w:p>
            <w:pPr>
              <w:spacing w:after="0"/>
              <w:rPr>
                <w:sz w:val="12"/>
                <w:szCs w:val="12"/>
                <w:color w:val="auto"/>
              </w:rPr>
            </w:pPr>
          </w:p>
        </w:tc>
        <w:tc>
          <w:tcPr>
            <w:tcW w:w="29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Bonakdarpour</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10.15#</w:t>
            </w:r>
          </w:p>
        </w:tc>
        <w:tc>
          <w:tcPr>
            <w:tcW w:w="2360" w:type="dxa"/>
            <w:vAlign w:val="bottom"/>
            <w:tcBorders>
              <w:bottom w:val="single" w:sz="8" w:color="0000FF"/>
            </w:tcBorders>
            <w:gridSpan w:val="6"/>
          </w:tcPr>
          <w:p>
            <w:pPr>
              <w:spacing w:after="0"/>
              <w:rPr>
                <w:rFonts w:ascii="Arial" w:cs="Arial" w:eastAsia="Arial" w:hAnsi="Arial"/>
                <w:sz w:val="16"/>
                <w:szCs w:val="16"/>
                <w:color w:val="0000FF"/>
                <w:w w:val="92"/>
              </w:rPr>
            </w:pPr>
            <w:hyperlink r:id="rId194">
              <w:r>
                <w:rPr>
                  <w:rFonts w:ascii="Arial" w:cs="Arial" w:eastAsia="Arial" w:hAnsi="Arial"/>
                  <w:sz w:val="16"/>
                  <w:szCs w:val="16"/>
                  <w:color w:val="0000FF"/>
                  <w:w w:val="92"/>
                </w:rPr>
                <w:t>Form of Executive Retention Award</w:t>
              </w:r>
            </w:hyperlink>
          </w:p>
        </w:tc>
        <w:tc>
          <w:tcPr>
            <w:tcW w:w="1080" w:type="dxa"/>
            <w:vAlign w:val="bottom"/>
            <w:gridSpan w:val="25"/>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1"/>
              </w:rPr>
              <w:t>February 23, 2022</w:t>
            </w: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10.16#</w:t>
            </w:r>
          </w:p>
        </w:tc>
        <w:tc>
          <w:tcPr>
            <w:tcW w:w="3200" w:type="dxa"/>
            <w:vAlign w:val="bottom"/>
            <w:tcBorders>
              <w:bottom w:val="single" w:sz="8" w:color="0000FF"/>
            </w:tcBorders>
            <w:gridSpan w:val="21"/>
          </w:tcPr>
          <w:p>
            <w:pPr>
              <w:spacing w:after="0"/>
              <w:rPr>
                <w:rFonts w:ascii="Arial" w:cs="Arial" w:eastAsia="Arial" w:hAnsi="Arial"/>
                <w:sz w:val="16"/>
                <w:szCs w:val="16"/>
                <w:color w:val="0000FF"/>
                <w:w w:val="92"/>
              </w:rPr>
            </w:pPr>
            <w:hyperlink r:id="rId195">
              <w:r>
                <w:rPr>
                  <w:rFonts w:ascii="Arial" w:cs="Arial" w:eastAsia="Arial" w:hAnsi="Arial"/>
                  <w:sz w:val="16"/>
                  <w:szCs w:val="16"/>
                  <w:color w:val="0000FF"/>
                  <w:w w:val="92"/>
                </w:rPr>
                <w:t>Root Inc, Non-Employee Director Compensation</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1"/>
              </w:rPr>
              <w:t>February 23, 2022</w:t>
            </w:r>
          </w:p>
        </w:tc>
      </w:tr>
      <w:tr>
        <w:trPr>
          <w:trHeight w:val="142"/>
        </w:trPr>
        <w:tc>
          <w:tcPr>
            <w:tcW w:w="1260" w:type="dxa"/>
            <w:vAlign w:val="bottom"/>
          </w:tcPr>
          <w:p>
            <w:pPr>
              <w:spacing w:after="0"/>
              <w:rPr>
                <w:sz w:val="12"/>
                <w:szCs w:val="12"/>
                <w:color w:val="auto"/>
              </w:rPr>
            </w:pPr>
          </w:p>
        </w:tc>
        <w:tc>
          <w:tcPr>
            <w:tcW w:w="3200" w:type="dxa"/>
            <w:vAlign w:val="bottom"/>
            <w:gridSpan w:val="21"/>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Policy adopted February 17, 2022</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10.17#</w:t>
            </w:r>
          </w:p>
        </w:tc>
        <w:tc>
          <w:tcPr>
            <w:tcW w:w="3440" w:type="dxa"/>
            <w:vAlign w:val="bottom"/>
            <w:gridSpan w:val="31"/>
          </w:tcPr>
          <w:p>
            <w:pPr>
              <w:spacing w:after="0"/>
              <w:rPr>
                <w:rFonts w:ascii="Arial" w:cs="Arial" w:eastAsia="Arial" w:hAnsi="Arial"/>
                <w:sz w:val="16"/>
                <w:szCs w:val="16"/>
                <w:color w:val="0000FF"/>
              </w:rPr>
            </w:pPr>
            <w:hyperlink r:id="rId196">
              <w:r>
                <w:rPr>
                  <w:rFonts w:ascii="Arial" w:cs="Arial" w:eastAsia="Arial" w:hAnsi="Arial"/>
                  <w:sz w:val="16"/>
                  <w:szCs w:val="16"/>
                  <w:color w:val="0000FF"/>
                </w:rPr>
                <w:t>Form of Stock Option Agreement under the</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5, 2020</w:t>
            </w:r>
          </w:p>
        </w:tc>
      </w:tr>
      <w:tr>
        <w:trPr>
          <w:trHeight w:val="142"/>
        </w:trPr>
        <w:tc>
          <w:tcPr>
            <w:tcW w:w="126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86"/>
              </w:rPr>
            </w:pPr>
            <w:hyperlink r:id="rId196">
              <w:r>
                <w:rPr>
                  <w:rFonts w:ascii="Arial" w:cs="Arial" w:eastAsia="Arial" w:hAnsi="Arial"/>
                  <w:sz w:val="16"/>
                  <w:szCs w:val="16"/>
                  <w:color w:val="0000FF"/>
                  <w:w w:val="86"/>
                </w:rPr>
                <w:t>Amended and Restated 2015 Equity Incentive</w:t>
              </w:r>
            </w:hyperlink>
          </w:p>
        </w:tc>
        <w:tc>
          <w:tcPr>
            <w:tcW w:w="1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320" w:type="dxa"/>
            <w:vAlign w:val="bottom"/>
            <w:tcBorders>
              <w:bottom w:val="single" w:sz="8" w:color="0000FF"/>
            </w:tcBorders>
            <w:gridSpan w:val="12"/>
          </w:tcPr>
          <w:p>
            <w:pPr>
              <w:spacing w:after="0" w:line="142" w:lineRule="exact"/>
              <w:rPr>
                <w:rFonts w:ascii="Arial" w:cs="Arial" w:eastAsia="Arial" w:hAnsi="Arial"/>
                <w:sz w:val="16"/>
                <w:szCs w:val="16"/>
                <w:color w:val="0000FF"/>
                <w:w w:val="82"/>
              </w:rPr>
            </w:pPr>
            <w:hyperlink r:id="rId196">
              <w:r>
                <w:rPr>
                  <w:rFonts w:ascii="Arial" w:cs="Arial" w:eastAsia="Arial" w:hAnsi="Arial"/>
                  <w:sz w:val="16"/>
                  <w:szCs w:val="16"/>
                  <w:color w:val="0000FF"/>
                  <w:w w:val="82"/>
                </w:rPr>
                <w:t>Plan.</w:t>
              </w:r>
            </w:hyperlink>
          </w:p>
        </w:tc>
        <w:tc>
          <w:tcPr>
            <w:tcW w:w="8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10.18#</w:t>
            </w:r>
          </w:p>
        </w:tc>
        <w:tc>
          <w:tcPr>
            <w:tcW w:w="3440" w:type="dxa"/>
            <w:vAlign w:val="bottom"/>
            <w:gridSpan w:val="31"/>
          </w:tcPr>
          <w:p>
            <w:pPr>
              <w:spacing w:after="0"/>
              <w:rPr>
                <w:rFonts w:ascii="Arial" w:cs="Arial" w:eastAsia="Arial" w:hAnsi="Arial"/>
                <w:sz w:val="16"/>
                <w:szCs w:val="16"/>
                <w:color w:val="0000FF"/>
                <w:w w:val="94"/>
              </w:rPr>
            </w:pPr>
            <w:hyperlink r:id="rId197">
              <w:r>
                <w:rPr>
                  <w:rFonts w:ascii="Arial" w:cs="Arial" w:eastAsia="Arial" w:hAnsi="Arial"/>
                  <w:sz w:val="16"/>
                  <w:szCs w:val="16"/>
                  <w:color w:val="0000FF"/>
                  <w:w w:val="94"/>
                </w:rPr>
                <w:t>Form of Notice of Stock Option Exercise and Stock</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460" w:type="dxa"/>
            <w:vAlign w:val="bottom"/>
          </w:tcPr>
          <w:p>
            <w:pPr>
              <w:jc w:val="center"/>
              <w:ind w:left="199"/>
              <w:spacing w:after="0"/>
              <w:rPr>
                <w:sz w:val="20"/>
                <w:szCs w:val="20"/>
                <w:color w:val="auto"/>
              </w:rPr>
            </w:pPr>
            <w:r>
              <w:rPr>
                <w:rFonts w:ascii="Arial" w:cs="Arial" w:eastAsia="Arial" w:hAnsi="Arial"/>
                <w:sz w:val="16"/>
                <w:szCs w:val="16"/>
                <w:color w:val="auto"/>
                <w:w w:val="91"/>
              </w:rPr>
              <w:t>March 4, 2021</w:t>
            </w:r>
          </w:p>
        </w:tc>
      </w:tr>
      <w:tr>
        <w:trPr>
          <w:trHeight w:val="142"/>
        </w:trPr>
        <w:tc>
          <w:tcPr>
            <w:tcW w:w="126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w w:val="90"/>
              </w:rPr>
            </w:pPr>
            <w:hyperlink r:id="rId197">
              <w:r>
                <w:rPr>
                  <w:rFonts w:ascii="Arial" w:cs="Arial" w:eastAsia="Arial" w:hAnsi="Arial"/>
                  <w:sz w:val="16"/>
                  <w:szCs w:val="16"/>
                  <w:color w:val="0000FF"/>
                  <w:w w:val="90"/>
                </w:rPr>
                <w:t>Option Exercise Agreement under the Amended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420" w:type="dxa"/>
            <w:vAlign w:val="bottom"/>
            <w:gridSpan w:val="30"/>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Restated 2015 Equity Incentive Plan.</w:t>
              </w:r>
            </w:hyperlink>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10.19#</w:t>
            </w:r>
          </w:p>
        </w:tc>
        <w:tc>
          <w:tcPr>
            <w:tcW w:w="3400" w:type="dxa"/>
            <w:vAlign w:val="bottom"/>
            <w:tcBorders>
              <w:bottom w:val="single" w:sz="8" w:color="0000FF"/>
            </w:tcBorders>
            <w:gridSpan w:val="29"/>
          </w:tcPr>
          <w:p>
            <w:pPr>
              <w:spacing w:after="0"/>
              <w:rPr>
                <w:rFonts w:ascii="Arial" w:cs="Arial" w:eastAsia="Arial" w:hAnsi="Arial"/>
                <w:sz w:val="16"/>
                <w:szCs w:val="16"/>
                <w:color w:val="0000FF"/>
                <w:w w:val="93"/>
              </w:rPr>
            </w:pPr>
            <w:hyperlink r:id="rId198">
              <w:r>
                <w:rPr>
                  <w:rFonts w:ascii="Arial" w:cs="Arial" w:eastAsia="Arial" w:hAnsi="Arial"/>
                  <w:sz w:val="16"/>
                  <w:szCs w:val="16"/>
                  <w:color w:val="0000FF"/>
                  <w:w w:val="93"/>
                </w:rPr>
                <w:t>Form of Root, Inc. 2020 Equity Incentive Plan RSU</w:t>
              </w:r>
            </w:hyperlink>
          </w:p>
        </w:tc>
        <w:tc>
          <w:tcPr>
            <w:tcW w:w="40" w:type="dxa"/>
            <w:vAlign w:val="bottom"/>
            <w:gridSpan w:val="2"/>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60" w:type="dxa"/>
            <w:vAlign w:val="bottom"/>
          </w:tcPr>
          <w:p>
            <w:pPr>
              <w:jc w:val="center"/>
              <w:ind w:left="199"/>
              <w:spacing w:after="0"/>
              <w:rPr>
                <w:sz w:val="20"/>
                <w:szCs w:val="20"/>
                <w:color w:val="auto"/>
              </w:rPr>
            </w:pPr>
            <w:r>
              <w:rPr>
                <w:rFonts w:ascii="Arial" w:cs="Arial" w:eastAsia="Arial" w:hAnsi="Arial"/>
                <w:sz w:val="16"/>
                <w:szCs w:val="16"/>
                <w:color w:val="auto"/>
                <w:w w:val="93"/>
              </w:rPr>
              <w:t>May 6, 2021</w:t>
            </w:r>
          </w:p>
        </w:tc>
      </w:tr>
      <w:tr>
        <w:trPr>
          <w:trHeight w:val="142"/>
        </w:trPr>
        <w:tc>
          <w:tcPr>
            <w:tcW w:w="1260" w:type="dxa"/>
            <w:vAlign w:val="bottom"/>
          </w:tcPr>
          <w:p>
            <w:pPr>
              <w:spacing w:after="0"/>
              <w:rPr>
                <w:sz w:val="12"/>
                <w:szCs w:val="12"/>
                <w:color w:val="auto"/>
              </w:rPr>
            </w:pPr>
          </w:p>
        </w:tc>
        <w:tc>
          <w:tcPr>
            <w:tcW w:w="2820" w:type="dxa"/>
            <w:vAlign w:val="bottom"/>
            <w:tcBorders>
              <w:bottom w:val="single" w:sz="8" w:color="0000FF"/>
            </w:tcBorders>
            <w:gridSpan w:val="11"/>
          </w:tcPr>
          <w:p>
            <w:pPr>
              <w:spacing w:after="0" w:line="142" w:lineRule="exact"/>
              <w:rPr>
                <w:rFonts w:ascii="Arial" w:cs="Arial" w:eastAsia="Arial" w:hAnsi="Arial"/>
                <w:sz w:val="16"/>
                <w:szCs w:val="16"/>
                <w:color w:val="0000FF"/>
                <w:w w:val="92"/>
              </w:rPr>
            </w:pPr>
            <w:hyperlink r:id="rId198">
              <w:r>
                <w:rPr>
                  <w:rFonts w:ascii="Arial" w:cs="Arial" w:eastAsia="Arial" w:hAnsi="Arial"/>
                  <w:sz w:val="16"/>
                  <w:szCs w:val="16"/>
                  <w:color w:val="0000FF"/>
                  <w:w w:val="92"/>
                </w:rPr>
                <w:t>Award Grant Notice and Award Agreement</w:t>
              </w:r>
            </w:hyperlink>
          </w:p>
        </w:tc>
        <w:tc>
          <w:tcPr>
            <w:tcW w:w="580" w:type="dxa"/>
            <w:vAlign w:val="bottom"/>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10.20#</w:t>
            </w:r>
          </w:p>
        </w:tc>
        <w:tc>
          <w:tcPr>
            <w:tcW w:w="3040" w:type="dxa"/>
            <w:vAlign w:val="bottom"/>
            <w:tcBorders>
              <w:bottom w:val="single" w:sz="8" w:color="0000FF"/>
            </w:tcBorders>
            <w:gridSpan w:val="15"/>
          </w:tcPr>
          <w:p>
            <w:pPr>
              <w:spacing w:after="0"/>
              <w:rPr>
                <w:rFonts w:ascii="Arial" w:cs="Arial" w:eastAsia="Arial" w:hAnsi="Arial"/>
                <w:sz w:val="16"/>
                <w:szCs w:val="16"/>
                <w:color w:val="0000FF"/>
                <w:w w:val="93"/>
              </w:rPr>
            </w:pPr>
            <w:hyperlink r:id="rId199">
              <w:r>
                <w:rPr>
                  <w:rFonts w:ascii="Arial" w:cs="Arial" w:eastAsia="Arial" w:hAnsi="Arial"/>
                  <w:sz w:val="16"/>
                  <w:szCs w:val="16"/>
                  <w:color w:val="0000FF"/>
                  <w:w w:val="93"/>
                </w:rPr>
                <w:t>Form of Root, Inc. 2020 Equity Incentive Plan</w:t>
              </w:r>
            </w:hyperlink>
          </w:p>
        </w:tc>
        <w:tc>
          <w:tcPr>
            <w:tcW w:w="2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40" w:type="dxa"/>
            <w:vAlign w:val="bottom"/>
            <w:gridSpan w:val="2"/>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2"/>
              </w:rPr>
              <w:t>August 12, 2021</w:t>
            </w:r>
          </w:p>
        </w:tc>
      </w:tr>
      <w:tr>
        <w:trPr>
          <w:trHeight w:val="142"/>
        </w:trPr>
        <w:tc>
          <w:tcPr>
            <w:tcW w:w="1260" w:type="dxa"/>
            <w:vAlign w:val="bottom"/>
          </w:tcPr>
          <w:p>
            <w:pPr>
              <w:spacing w:after="0"/>
              <w:rPr>
                <w:sz w:val="12"/>
                <w:szCs w:val="12"/>
                <w:color w:val="auto"/>
              </w:rPr>
            </w:pPr>
          </w:p>
        </w:tc>
        <w:tc>
          <w:tcPr>
            <w:tcW w:w="3280" w:type="dxa"/>
            <w:vAlign w:val="bottom"/>
            <w:tcBorders>
              <w:bottom w:val="single" w:sz="8" w:color="0000FF"/>
            </w:tcBorders>
            <w:gridSpan w:val="24"/>
          </w:tcPr>
          <w:p>
            <w:pPr>
              <w:spacing w:after="0" w:line="142" w:lineRule="exact"/>
              <w:rPr>
                <w:rFonts w:ascii="Arial" w:cs="Arial" w:eastAsia="Arial" w:hAnsi="Arial"/>
                <w:sz w:val="16"/>
                <w:szCs w:val="16"/>
                <w:color w:val="0000FF"/>
                <w:w w:val="92"/>
              </w:rPr>
            </w:pPr>
            <w:hyperlink r:id="rId199">
              <w:r>
                <w:rPr>
                  <w:rFonts w:ascii="Arial" w:cs="Arial" w:eastAsia="Arial" w:hAnsi="Arial"/>
                  <w:sz w:val="16"/>
                  <w:szCs w:val="16"/>
                  <w:color w:val="0000FF"/>
                  <w:w w:val="92"/>
                </w:rPr>
                <w:t>Stock Option Grant Notice and Option Agreement</w:t>
              </w:r>
            </w:hyperlink>
          </w:p>
        </w:tc>
        <w:tc>
          <w:tcPr>
            <w:tcW w:w="160" w:type="dxa"/>
            <w:vAlign w:val="bottom"/>
            <w:gridSpan w:val="7"/>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10.21#</w:t>
            </w:r>
          </w:p>
        </w:tc>
        <w:tc>
          <w:tcPr>
            <w:tcW w:w="3360" w:type="dxa"/>
            <w:vAlign w:val="bottom"/>
            <w:tcBorders>
              <w:bottom w:val="single" w:sz="8" w:color="0000FF"/>
            </w:tcBorders>
            <w:gridSpan w:val="27"/>
          </w:tcPr>
          <w:p>
            <w:pPr>
              <w:spacing w:after="0"/>
              <w:rPr>
                <w:rFonts w:ascii="Arial" w:cs="Arial" w:eastAsia="Arial" w:hAnsi="Arial"/>
                <w:sz w:val="16"/>
                <w:szCs w:val="16"/>
                <w:color w:val="0000FF"/>
                <w:w w:val="94"/>
              </w:rPr>
            </w:pPr>
            <w:hyperlink r:id="rId200">
              <w:r>
                <w:rPr>
                  <w:rFonts w:ascii="Arial" w:cs="Arial" w:eastAsia="Arial" w:hAnsi="Arial"/>
                  <w:sz w:val="16"/>
                  <w:szCs w:val="16"/>
                  <w:color w:val="0000FF"/>
                  <w:w w:val="94"/>
                </w:rPr>
                <w:t>Form of Director and Officer Indemnity Agreement</w:t>
              </w:r>
            </w:hyperlink>
          </w:p>
        </w:tc>
        <w:tc>
          <w:tcPr>
            <w:tcW w:w="80" w:type="dxa"/>
            <w:vAlign w:val="bottom"/>
            <w:gridSpan w:val="4"/>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1"/>
              </w:rPr>
              <w:t>February 23, 2022</w:t>
            </w: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10.22#</w:t>
            </w:r>
          </w:p>
        </w:tc>
        <w:tc>
          <w:tcPr>
            <w:tcW w:w="3440" w:type="dxa"/>
            <w:vAlign w:val="bottom"/>
            <w:gridSpan w:val="31"/>
          </w:tcPr>
          <w:p>
            <w:pPr>
              <w:spacing w:after="0"/>
              <w:rPr>
                <w:rFonts w:ascii="Arial" w:cs="Arial" w:eastAsia="Arial" w:hAnsi="Arial"/>
                <w:sz w:val="16"/>
                <w:szCs w:val="16"/>
                <w:color w:val="0000FF"/>
                <w:w w:val="97"/>
              </w:rPr>
            </w:pPr>
            <w:hyperlink r:id="rId201">
              <w:r>
                <w:rPr>
                  <w:rFonts w:ascii="Arial" w:cs="Arial" w:eastAsia="Arial" w:hAnsi="Arial"/>
                  <w:sz w:val="16"/>
                  <w:szCs w:val="16"/>
                  <w:color w:val="0000FF"/>
                  <w:w w:val="97"/>
                </w:rPr>
                <w:t>Form of RSU Agreement under the Amended and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5, 2020</w:t>
            </w:r>
          </w:p>
        </w:tc>
      </w:tr>
      <w:tr>
        <w:trPr>
          <w:trHeight w:val="142"/>
        </w:trPr>
        <w:tc>
          <w:tcPr>
            <w:tcW w:w="1260" w:type="dxa"/>
            <w:vAlign w:val="bottom"/>
          </w:tcPr>
          <w:p>
            <w:pPr>
              <w:spacing w:after="0"/>
              <w:rPr>
                <w:sz w:val="12"/>
                <w:szCs w:val="12"/>
                <w:color w:val="auto"/>
              </w:rPr>
            </w:pPr>
          </w:p>
        </w:tc>
        <w:tc>
          <w:tcPr>
            <w:tcW w:w="32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Restated 2015 Equity Incentive Plan.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10.23*</w:t>
            </w:r>
          </w:p>
        </w:tc>
        <w:tc>
          <w:tcPr>
            <w:tcW w:w="3440" w:type="dxa"/>
            <w:vAlign w:val="bottom"/>
            <w:gridSpan w:val="31"/>
          </w:tcPr>
          <w:p>
            <w:pPr>
              <w:spacing w:after="0"/>
              <w:rPr>
                <w:rFonts w:ascii="Arial" w:cs="Arial" w:eastAsia="Arial" w:hAnsi="Arial"/>
                <w:sz w:val="16"/>
                <w:szCs w:val="16"/>
                <w:color w:val="0000FF"/>
              </w:rPr>
            </w:pPr>
            <w:hyperlink r:id="rId202">
              <w:r>
                <w:rPr>
                  <w:rFonts w:ascii="Arial" w:cs="Arial" w:eastAsia="Arial" w:hAnsi="Arial"/>
                  <w:sz w:val="16"/>
                  <w:szCs w:val="16"/>
                  <w:color w:val="0000FF"/>
                </w:rPr>
                <w:t>Term Loan Agreement, dated as of January 26,</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199"/>
              <w:spacing w:after="0"/>
              <w:rPr>
                <w:sz w:val="20"/>
                <w:szCs w:val="20"/>
                <w:color w:val="auto"/>
              </w:rPr>
            </w:pPr>
            <w:r>
              <w:rPr>
                <w:rFonts w:ascii="Arial" w:cs="Arial" w:eastAsia="Arial" w:hAnsi="Arial"/>
                <w:sz w:val="16"/>
                <w:szCs w:val="16"/>
                <w:color w:val="auto"/>
                <w:w w:val="93"/>
              </w:rPr>
              <w:t>May 4, 2022</w:t>
            </w: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440" w:type="dxa"/>
            <w:vAlign w:val="bottom"/>
            <w:gridSpan w:val="31"/>
          </w:tcPr>
          <w:p>
            <w:pPr>
              <w:spacing w:after="0" w:line="142" w:lineRule="exact"/>
              <w:rPr>
                <w:rFonts w:ascii="Arial" w:cs="Arial" w:eastAsia="Arial" w:hAnsi="Arial"/>
                <w:sz w:val="16"/>
                <w:szCs w:val="16"/>
                <w:color w:val="0000FF"/>
                <w:w w:val="93"/>
              </w:rPr>
            </w:pPr>
            <w:hyperlink r:id="rId202">
              <w:r>
                <w:rPr>
                  <w:rFonts w:ascii="Arial" w:cs="Arial" w:eastAsia="Arial" w:hAnsi="Arial"/>
                  <w:sz w:val="16"/>
                  <w:szCs w:val="16"/>
                  <w:color w:val="0000FF"/>
                  <w:w w:val="93"/>
                </w:rPr>
                <w:t>2022, by and among the Company, Caret Holdings,</w:t>
              </w:r>
            </w:hyperlink>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320" w:type="dxa"/>
            <w:vAlign w:val="bottom"/>
            <w:tcBorders>
              <w:top w:val="single" w:sz="8" w:color="0000FF"/>
            </w:tcBorders>
            <w:gridSpan w:val="26"/>
          </w:tcPr>
          <w:p>
            <w:pPr>
              <w:spacing w:after="0" w:line="142" w:lineRule="exact"/>
              <w:rPr>
                <w:rFonts w:ascii="Arial" w:cs="Arial" w:eastAsia="Arial" w:hAnsi="Arial"/>
                <w:sz w:val="16"/>
                <w:szCs w:val="16"/>
                <w:color w:val="0000FF"/>
                <w:w w:val="90"/>
              </w:rPr>
            </w:pPr>
            <w:hyperlink r:id="rId202">
              <w:r>
                <w:rPr>
                  <w:rFonts w:ascii="Arial" w:cs="Arial" w:eastAsia="Arial" w:hAnsi="Arial"/>
                  <w:sz w:val="16"/>
                  <w:szCs w:val="16"/>
                  <w:color w:val="0000FF"/>
                  <w:w w:val="90"/>
                </w:rPr>
                <w:t>Inc., as borrower, the loan parties party thereto and</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2"/>
              </w:rPr>
            </w:pPr>
            <w:hyperlink r:id="rId202">
              <w:r>
                <w:rPr>
                  <w:rFonts w:ascii="Arial" w:cs="Arial" w:eastAsia="Arial" w:hAnsi="Arial"/>
                  <w:sz w:val="16"/>
                  <w:szCs w:val="16"/>
                  <w:color w:val="0000FF"/>
                  <w:w w:val="92"/>
                </w:rPr>
                <w:t>Acquiom Agency Services LLC, as the</w:t>
              </w:r>
            </w:hyperlink>
          </w:p>
        </w:tc>
        <w:tc>
          <w:tcPr>
            <w:tcW w:w="760" w:type="dxa"/>
            <w:vAlign w:val="bottom"/>
            <w:tcBorders>
              <w:top w:val="single" w:sz="8" w:color="0000FF"/>
            </w:tcBorders>
            <w:gridSpan w:val="16"/>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160" w:type="dxa"/>
            <w:vAlign w:val="bottom"/>
            <w:tcBorders>
              <w:bottom w:val="single" w:sz="8" w:color="0000FF"/>
            </w:tcBorders>
            <w:gridSpan w:val="19"/>
          </w:tcPr>
          <w:p>
            <w:pPr>
              <w:spacing w:after="0" w:line="142" w:lineRule="exact"/>
              <w:rPr>
                <w:rFonts w:ascii="Arial" w:cs="Arial" w:eastAsia="Arial" w:hAnsi="Arial"/>
                <w:sz w:val="16"/>
                <w:szCs w:val="16"/>
                <w:color w:val="0000FF"/>
                <w:w w:val="91"/>
              </w:rPr>
            </w:pPr>
            <w:hyperlink r:id="rId202">
              <w:r>
                <w:rPr>
                  <w:rFonts w:ascii="Arial" w:cs="Arial" w:eastAsia="Arial" w:hAnsi="Arial"/>
                  <w:sz w:val="16"/>
                  <w:szCs w:val="16"/>
                  <w:color w:val="0000FF"/>
                  <w:w w:val="91"/>
                </w:rPr>
                <w:t>administrative agent for the lenders party thereto</w:t>
              </w:r>
            </w:hyperlink>
          </w:p>
        </w:tc>
        <w:tc>
          <w:tcPr>
            <w:tcW w:w="280" w:type="dxa"/>
            <w:vAlign w:val="bottom"/>
            <w:gridSpan w:val="1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10.24*</w:t>
            </w:r>
          </w:p>
        </w:tc>
        <w:tc>
          <w:tcPr>
            <w:tcW w:w="3440" w:type="dxa"/>
            <w:vAlign w:val="bottom"/>
            <w:gridSpan w:val="31"/>
          </w:tcPr>
          <w:p>
            <w:pPr>
              <w:spacing w:after="0"/>
              <w:rPr>
                <w:rFonts w:ascii="Arial" w:cs="Arial" w:eastAsia="Arial" w:hAnsi="Arial"/>
                <w:sz w:val="16"/>
                <w:szCs w:val="16"/>
                <w:color w:val="0000FF"/>
              </w:rPr>
            </w:pPr>
            <w:hyperlink r:id="rId203">
              <w:r>
                <w:rPr>
                  <w:rFonts w:ascii="Arial" w:cs="Arial" w:eastAsia="Arial" w:hAnsi="Arial"/>
                  <w:sz w:val="16"/>
                  <w:szCs w:val="16"/>
                  <w:color w:val="0000FF"/>
                </w:rPr>
                <w:t>Commercial Agreement, dated as of October 1,</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1, 2021</w:t>
            </w:r>
          </w:p>
        </w:tc>
      </w:tr>
      <w:tr>
        <w:trPr>
          <w:trHeight w:val="142"/>
        </w:trPr>
        <w:tc>
          <w:tcPr>
            <w:tcW w:w="126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r:id="rId203">
              <w:r>
                <w:rPr>
                  <w:rFonts w:ascii="Arial" w:cs="Arial" w:eastAsia="Arial" w:hAnsi="Arial"/>
                  <w:sz w:val="16"/>
                  <w:szCs w:val="16"/>
                  <w:color w:val="0000FF"/>
                  <w:w w:val="84"/>
                </w:rPr>
                <w:t>2021</w:t>
              </w:r>
            </w:hyperlink>
          </w:p>
        </w:tc>
        <w:tc>
          <w:tcPr>
            <w:tcW w:w="2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10.25*</w:t>
            </w:r>
          </w:p>
        </w:tc>
        <w:tc>
          <w:tcPr>
            <w:tcW w:w="3440" w:type="dxa"/>
            <w:vAlign w:val="bottom"/>
            <w:gridSpan w:val="31"/>
          </w:tcPr>
          <w:p>
            <w:pPr>
              <w:spacing w:after="0"/>
              <w:rPr>
                <w:rFonts w:ascii="Arial" w:cs="Arial" w:eastAsia="Arial" w:hAnsi="Arial"/>
                <w:sz w:val="16"/>
                <w:szCs w:val="16"/>
                <w:color w:val="0000FF"/>
              </w:rPr>
            </w:pPr>
            <w:hyperlink r:id="rId204">
              <w:r>
                <w:rPr>
                  <w:rFonts w:ascii="Arial" w:cs="Arial" w:eastAsia="Arial" w:hAnsi="Arial"/>
                  <w:sz w:val="16"/>
                  <w:szCs w:val="16"/>
                  <w:color w:val="0000FF"/>
                </w:rPr>
                <w:t>First Amendment to Carvana Commercial</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2"/>
              </w:rPr>
              <w:t>August 8, 2022</w:t>
            </w:r>
          </w:p>
        </w:tc>
      </w:tr>
      <w:tr>
        <w:trPr>
          <w:trHeight w:val="142"/>
        </w:trPr>
        <w:tc>
          <w:tcPr>
            <w:tcW w:w="1260" w:type="dxa"/>
            <w:vAlign w:val="bottom"/>
          </w:tcPr>
          <w:p>
            <w:pPr>
              <w:spacing w:after="0"/>
              <w:rPr>
                <w:sz w:val="12"/>
                <w:szCs w:val="12"/>
                <w:color w:val="auto"/>
              </w:rPr>
            </w:pPr>
          </w:p>
        </w:tc>
        <w:tc>
          <w:tcPr>
            <w:tcW w:w="27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Agreement, dated as of May 13, 2022</w:t>
              </w:r>
            </w:hyperlink>
          </w:p>
        </w:tc>
        <w:tc>
          <w:tcPr>
            <w:tcW w:w="26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10.26#</w:t>
            </w:r>
          </w:p>
        </w:tc>
        <w:tc>
          <w:tcPr>
            <w:tcW w:w="3440" w:type="dxa"/>
            <w:vAlign w:val="bottom"/>
            <w:gridSpan w:val="31"/>
          </w:tcPr>
          <w:p>
            <w:pPr>
              <w:spacing w:after="0"/>
              <w:rPr>
                <w:rFonts w:ascii="Arial" w:cs="Arial" w:eastAsia="Arial" w:hAnsi="Arial"/>
                <w:sz w:val="16"/>
                <w:szCs w:val="16"/>
                <w:color w:val="0000FF"/>
              </w:rPr>
            </w:pPr>
            <w:hyperlink r:id="rId205">
              <w:r>
                <w:rPr>
                  <w:rFonts w:ascii="Arial" w:cs="Arial" w:eastAsia="Arial" w:hAnsi="Arial"/>
                  <w:sz w:val="16"/>
                  <w:szCs w:val="16"/>
                  <w:color w:val="0000FF"/>
                </w:rPr>
                <w:t>Root, Inc. Executive Compensation Agreement</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10.30</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1"/>
              </w:rPr>
              <w:t>February 23, 2022</w:t>
            </w: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10.27#</w:t>
            </w:r>
          </w:p>
        </w:tc>
        <w:tc>
          <w:tcPr>
            <w:tcW w:w="2980" w:type="dxa"/>
            <w:vAlign w:val="bottom"/>
            <w:tcBorders>
              <w:top w:val="single" w:sz="8" w:color="0000FF"/>
              <w:bottom w:val="single" w:sz="8" w:color="0000FF"/>
            </w:tcBorders>
            <w:gridSpan w:val="14"/>
          </w:tcPr>
          <w:p>
            <w:pPr>
              <w:spacing w:after="0"/>
              <w:rPr>
                <w:rFonts w:ascii="Arial" w:cs="Arial" w:eastAsia="Arial" w:hAnsi="Arial"/>
                <w:sz w:val="16"/>
                <w:szCs w:val="16"/>
                <w:color w:val="0000FF"/>
                <w:w w:val="92"/>
              </w:rPr>
            </w:pPr>
            <w:hyperlink r:id="rId206">
              <w:r>
                <w:rPr>
                  <w:rFonts w:ascii="Arial" w:cs="Arial" w:eastAsia="Arial" w:hAnsi="Arial"/>
                  <w:sz w:val="16"/>
                  <w:szCs w:val="16"/>
                  <w:color w:val="0000FF"/>
                  <w:w w:val="92"/>
                </w:rPr>
                <w:t>Form of Root, Inc. Cash Incentive Agreement</w:t>
              </w:r>
            </w:hyperlink>
          </w:p>
        </w:tc>
        <w:tc>
          <w:tcPr>
            <w:tcW w:w="80" w:type="dxa"/>
            <w:vAlign w:val="bottom"/>
            <w:tcBorders>
              <w:top w:val="single" w:sz="8" w:color="0000FF"/>
            </w:tcBorders>
            <w:gridSpan w:val="2"/>
          </w:tcPr>
          <w:p>
            <w:pPr>
              <w:spacing w:after="0"/>
              <w:rPr>
                <w:sz w:val="24"/>
                <w:szCs w:val="24"/>
                <w:color w:val="auto"/>
              </w:rPr>
            </w:pPr>
          </w:p>
        </w:tc>
        <w:tc>
          <w:tcPr>
            <w:tcW w:w="38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460" w:type="dxa"/>
            <w:vAlign w:val="bottom"/>
          </w:tcPr>
          <w:p>
            <w:pPr>
              <w:jc w:val="center"/>
              <w:ind w:left="199"/>
              <w:spacing w:after="0"/>
              <w:rPr>
                <w:sz w:val="20"/>
                <w:szCs w:val="20"/>
                <w:color w:val="auto"/>
              </w:rPr>
            </w:pPr>
            <w:r>
              <w:rPr>
                <w:rFonts w:ascii="Arial" w:cs="Arial" w:eastAsia="Arial" w:hAnsi="Arial"/>
                <w:sz w:val="16"/>
                <w:szCs w:val="16"/>
                <w:color w:val="auto"/>
                <w:w w:val="93"/>
              </w:rPr>
              <w:t>May 4, 2022</w:t>
            </w:r>
          </w:p>
        </w:tc>
      </w:tr>
      <w:tr>
        <w:trPr>
          <w:trHeight w:val="277"/>
        </w:trPr>
        <w:tc>
          <w:tcPr>
            <w:tcW w:w="1260" w:type="dxa"/>
            <w:vAlign w:val="bottom"/>
          </w:tcPr>
          <w:p>
            <w:pPr>
              <w:spacing w:after="0"/>
              <w:rPr>
                <w:sz w:val="20"/>
                <w:szCs w:val="20"/>
                <w:color w:val="auto"/>
              </w:rPr>
            </w:pPr>
            <w:r>
              <w:rPr>
                <w:rFonts w:ascii="Arial" w:cs="Arial" w:eastAsia="Arial" w:hAnsi="Arial"/>
                <w:sz w:val="16"/>
                <w:szCs w:val="16"/>
                <w:color w:val="auto"/>
              </w:rPr>
              <w:t>10.28</w:t>
            </w:r>
          </w:p>
        </w:tc>
        <w:tc>
          <w:tcPr>
            <w:tcW w:w="3440" w:type="dxa"/>
            <w:vAlign w:val="bottom"/>
            <w:tcBorders>
              <w:bottom w:val="single" w:sz="8" w:color="0000FF"/>
            </w:tcBorders>
            <w:gridSpan w:val="31"/>
          </w:tcPr>
          <w:p>
            <w:pPr>
              <w:spacing w:after="0"/>
              <w:rPr>
                <w:rFonts w:ascii="Arial" w:cs="Arial" w:eastAsia="Arial" w:hAnsi="Arial"/>
                <w:sz w:val="16"/>
                <w:szCs w:val="16"/>
                <w:color w:val="0000FF"/>
                <w:w w:val="91"/>
              </w:rPr>
            </w:pPr>
            <w:hyperlink r:id="rId207">
              <w:r>
                <w:rPr>
                  <w:rFonts w:ascii="Arial" w:cs="Arial" w:eastAsia="Arial" w:hAnsi="Arial"/>
                  <w:sz w:val="16"/>
                  <w:szCs w:val="16"/>
                  <w:color w:val="0000FF"/>
                  <w:w w:val="91"/>
                </w:rPr>
                <w:t>Investment Agreement, dated as of August 11, 2021,</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2"/>
              </w:rPr>
              <w:t>August 12, 2021</w:t>
            </w:r>
          </w:p>
        </w:tc>
      </w:tr>
      <w:tr>
        <w:trPr>
          <w:trHeight w:val="142"/>
        </w:trPr>
        <w:tc>
          <w:tcPr>
            <w:tcW w:w="1260" w:type="dxa"/>
            <w:vAlign w:val="bottom"/>
          </w:tcPr>
          <w:p>
            <w:pPr>
              <w:spacing w:after="0"/>
              <w:rPr>
                <w:sz w:val="12"/>
                <w:szCs w:val="12"/>
                <w:color w:val="auto"/>
              </w:rPr>
            </w:pPr>
          </w:p>
        </w:tc>
        <w:tc>
          <w:tcPr>
            <w:tcW w:w="3440" w:type="dxa"/>
            <w:vAlign w:val="bottom"/>
            <w:tcBorders>
              <w:bottom w:val="single" w:sz="8" w:color="0000FF"/>
            </w:tcBorders>
            <w:gridSpan w:val="31"/>
          </w:tcPr>
          <w:p>
            <w:pPr>
              <w:spacing w:after="0" w:line="142" w:lineRule="exact"/>
              <w:rPr>
                <w:rFonts w:ascii="Arial" w:cs="Arial" w:eastAsia="Arial" w:hAnsi="Arial"/>
                <w:sz w:val="16"/>
                <w:szCs w:val="16"/>
                <w:color w:val="0000FF"/>
                <w:w w:val="92"/>
              </w:rPr>
            </w:pPr>
            <w:hyperlink r:id="rId207">
              <w:r>
                <w:rPr>
                  <w:rFonts w:ascii="Arial" w:cs="Arial" w:eastAsia="Arial" w:hAnsi="Arial"/>
                  <w:sz w:val="16"/>
                  <w:szCs w:val="16"/>
                  <w:color w:val="0000FF"/>
                  <w:w w:val="92"/>
                </w:rPr>
                <w:t>by and between Root, Inc. and Carvana Group, LLC</w:t>
              </w:r>
            </w:hyperlink>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10.29</w:t>
            </w:r>
          </w:p>
        </w:tc>
        <w:tc>
          <w:tcPr>
            <w:tcW w:w="3440" w:type="dxa"/>
            <w:vAlign w:val="bottom"/>
            <w:gridSpan w:val="31"/>
          </w:tcPr>
          <w:p>
            <w:pPr>
              <w:spacing w:after="0"/>
              <w:rPr>
                <w:rFonts w:ascii="Arial" w:cs="Arial" w:eastAsia="Arial" w:hAnsi="Arial"/>
                <w:sz w:val="16"/>
                <w:szCs w:val="16"/>
                <w:color w:val="0000FF"/>
                <w:w w:val="96"/>
              </w:rPr>
            </w:pPr>
            <w:hyperlink r:id="rId208">
              <w:r>
                <w:rPr>
                  <w:rFonts w:ascii="Arial" w:cs="Arial" w:eastAsia="Arial" w:hAnsi="Arial"/>
                  <w:sz w:val="16"/>
                  <w:szCs w:val="16"/>
                  <w:color w:val="0000FF"/>
                  <w:w w:val="96"/>
                </w:rPr>
                <w:t>First Amendment to Investment Agreement, dated</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001-39658</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1, 2021</w:t>
            </w: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23"/>
          </w:tcPr>
          <w:p>
            <w:pPr>
              <w:spacing w:after="0" w:line="142" w:lineRule="exact"/>
              <w:rPr>
                <w:rFonts w:ascii="Arial" w:cs="Arial" w:eastAsia="Arial" w:hAnsi="Arial"/>
                <w:sz w:val="16"/>
                <w:szCs w:val="16"/>
                <w:color w:val="0000FF"/>
                <w:w w:val="92"/>
              </w:rPr>
            </w:pPr>
            <w:hyperlink r:id="rId208">
              <w:r>
                <w:rPr>
                  <w:rFonts w:ascii="Arial" w:cs="Arial" w:eastAsia="Arial" w:hAnsi="Arial"/>
                  <w:sz w:val="16"/>
                  <w:szCs w:val="16"/>
                  <w:color w:val="0000FF"/>
                  <w:w w:val="92"/>
                </w:rPr>
                <w:t>as of September 29, 2021, by and between Root,</w:t>
              </w:r>
            </w:hyperlink>
          </w:p>
        </w:tc>
        <w:tc>
          <w:tcPr>
            <w:tcW w:w="180" w:type="dxa"/>
            <w:vAlign w:val="bottom"/>
            <w:gridSpan w:val="8"/>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1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Inc. and Carvana Group, LLC</w:t>
              </w:r>
            </w:hyperlink>
          </w:p>
        </w:tc>
        <w:tc>
          <w:tcPr>
            <w:tcW w:w="300" w:type="dxa"/>
            <w:vAlign w:val="bottom"/>
            <w:gridSpan w:val="13"/>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260" w:type="dxa"/>
            <w:vAlign w:val="bottom"/>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40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10.30</w:t>
            </w:r>
          </w:p>
        </w:tc>
        <w:tc>
          <w:tcPr>
            <w:tcW w:w="3440" w:type="dxa"/>
            <w:vAlign w:val="bottom"/>
            <w:gridSpan w:val="31"/>
          </w:tcPr>
          <w:p>
            <w:pPr>
              <w:spacing w:after="0"/>
              <w:rPr>
                <w:rFonts w:ascii="Arial" w:cs="Arial" w:eastAsia="Arial" w:hAnsi="Arial"/>
                <w:sz w:val="16"/>
                <w:szCs w:val="16"/>
                <w:color w:val="0000FF"/>
              </w:rPr>
            </w:pPr>
            <w:hyperlink r:id="rId209">
              <w:r>
                <w:rPr>
                  <w:rFonts w:ascii="Arial" w:cs="Arial" w:eastAsia="Arial" w:hAnsi="Arial"/>
                  <w:sz w:val="16"/>
                  <w:szCs w:val="16"/>
                  <w:color w:val="0000FF"/>
                </w:rPr>
                <w:t>Fifth Amended and Restated Investors’ Rights</w:t>
              </w:r>
            </w:hyperlink>
          </w:p>
        </w:tc>
        <w:tc>
          <w:tcPr>
            <w:tcW w:w="900" w:type="dxa"/>
            <w:vAlign w:val="bottom"/>
          </w:tcPr>
          <w:p>
            <w:pPr>
              <w:jc w:val="center"/>
              <w:spacing w:after="0"/>
              <w:rPr>
                <w:sz w:val="20"/>
                <w:szCs w:val="20"/>
                <w:color w:val="auto"/>
              </w:rPr>
            </w:pPr>
            <w:r>
              <w:rPr>
                <w:rFonts w:ascii="Arial" w:cs="Arial" w:eastAsia="Arial" w:hAnsi="Arial"/>
                <w:sz w:val="16"/>
                <w:szCs w:val="16"/>
                <w:color w:val="auto"/>
                <w:w w:val="96"/>
              </w:rPr>
              <w:t>S-1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333-249332</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460" w:type="dxa"/>
            <w:vAlign w:val="bottom"/>
          </w:tcPr>
          <w:p>
            <w:pPr>
              <w:jc w:val="center"/>
              <w:ind w:left="179"/>
              <w:spacing w:after="0"/>
              <w:rPr>
                <w:sz w:val="20"/>
                <w:szCs w:val="20"/>
                <w:color w:val="auto"/>
              </w:rPr>
            </w:pPr>
            <w:r>
              <w:rPr>
                <w:rFonts w:ascii="Arial" w:cs="Arial" w:eastAsia="Arial" w:hAnsi="Arial"/>
                <w:sz w:val="16"/>
                <w:szCs w:val="16"/>
                <w:color w:val="auto"/>
                <w:w w:val="90"/>
              </w:rPr>
              <w:t>October 5, 2020</w:t>
            </w:r>
          </w:p>
        </w:tc>
      </w:tr>
      <w:tr>
        <w:trPr>
          <w:trHeight w:val="146"/>
        </w:trPr>
        <w:tc>
          <w:tcPr>
            <w:tcW w:w="1260" w:type="dxa"/>
            <w:vAlign w:val="bottom"/>
          </w:tcPr>
          <w:p>
            <w:pPr>
              <w:spacing w:after="0"/>
              <w:rPr>
                <w:sz w:val="12"/>
                <w:szCs w:val="12"/>
                <w:color w:val="auto"/>
              </w:rPr>
            </w:pPr>
          </w:p>
        </w:tc>
        <w:tc>
          <w:tcPr>
            <w:tcW w:w="3040" w:type="dxa"/>
            <w:vAlign w:val="bottom"/>
            <w:tcBorders>
              <w:top w:val="single" w:sz="8" w:color="0000FF"/>
            </w:tcBorders>
            <w:gridSpan w:val="15"/>
          </w:tcPr>
          <w:p>
            <w:pPr>
              <w:spacing w:after="0" w:line="146" w:lineRule="exact"/>
              <w:rPr>
                <w:rFonts w:ascii="Arial" w:cs="Arial" w:eastAsia="Arial" w:hAnsi="Arial"/>
                <w:sz w:val="16"/>
                <w:szCs w:val="16"/>
                <w:u w:val="single" w:color="auto"/>
                <w:color w:val="0000FF"/>
                <w:w w:val="88"/>
              </w:rPr>
            </w:pPr>
            <w:hyperlink r:id="rId209">
              <w:r>
                <w:rPr>
                  <w:rFonts w:ascii="Arial" w:cs="Arial" w:eastAsia="Arial" w:hAnsi="Arial"/>
                  <w:sz w:val="16"/>
                  <w:szCs w:val="16"/>
                  <w:u w:val="single" w:color="auto"/>
                  <w:color w:val="0000FF"/>
                  <w:w w:val="88"/>
                </w:rPr>
                <w:t>Agreement by and among Root, Inc. and certain</w:t>
              </w:r>
            </w:hyperlink>
          </w:p>
        </w:tc>
        <w:tc>
          <w:tcPr>
            <w:tcW w:w="400" w:type="dxa"/>
            <w:vAlign w:val="bottom"/>
            <w:gridSpan w:val="16"/>
          </w:tcPr>
          <w:p>
            <w:pPr>
              <w:ind w:left="120"/>
              <w:spacing w:after="0" w:line="146" w:lineRule="exact"/>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of</w:t>
              </w:r>
            </w:hyperlink>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ind w:left="1260"/>
        <w:spacing w:after="0"/>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its stockholders, dated November 25,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53" w:name="page154"/>
    <w:bookmarkEnd w:id="153"/>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10.31</w:t>
            </w:r>
          </w:p>
        </w:tc>
        <w:tc>
          <w:tcPr>
            <w:tcW w:w="3480" w:type="dxa"/>
            <w:vAlign w:val="bottom"/>
            <w:gridSpan w:val="11"/>
          </w:tcPr>
          <w:p>
            <w:pPr>
              <w:spacing w:after="0"/>
              <w:rPr>
                <w:rFonts w:ascii="Arial" w:cs="Arial" w:eastAsia="Arial" w:hAnsi="Arial"/>
                <w:sz w:val="16"/>
                <w:szCs w:val="16"/>
                <w:color w:val="0000FF"/>
              </w:rPr>
            </w:pPr>
            <w:hyperlink r:id="rId211">
              <w:r>
                <w:rPr>
                  <w:rFonts w:ascii="Arial" w:cs="Arial" w:eastAsia="Arial" w:hAnsi="Arial"/>
                  <w:sz w:val="16"/>
                  <w:szCs w:val="16"/>
                  <w:color w:val="0000FF"/>
                </w:rPr>
                <w:t>Amendment to the Fifth Amended and Restated</w:t>
              </w:r>
            </w:hyperlink>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94"/>
              </w:rPr>
              <w:t>10-K</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001-39658</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10.5</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1"/>
              </w:rPr>
              <w:t>February 23, 2022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480" w:type="dxa"/>
            <w:vAlign w:val="bottom"/>
            <w:gridSpan w:val="11"/>
          </w:tcPr>
          <w:p>
            <w:pPr>
              <w:spacing w:after="0" w:line="142" w:lineRule="exact"/>
              <w:rPr>
                <w:rFonts w:ascii="Arial" w:cs="Arial" w:eastAsia="Arial" w:hAnsi="Arial"/>
                <w:sz w:val="16"/>
                <w:szCs w:val="16"/>
                <w:color w:val="0000FF"/>
                <w:w w:val="98"/>
              </w:rPr>
            </w:pPr>
            <w:hyperlink r:id="rId211">
              <w:r>
                <w:rPr>
                  <w:rFonts w:ascii="Arial" w:cs="Arial" w:eastAsia="Arial" w:hAnsi="Arial"/>
                  <w:sz w:val="16"/>
                  <w:szCs w:val="16"/>
                  <w:color w:val="0000FF"/>
                  <w:w w:val="98"/>
                </w:rPr>
                <w:t>Investors’ Rights Agreement by and among Root,</w:t>
              </w:r>
            </w:hyperlink>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r:id="rId211">
              <w:r>
                <w:rPr>
                  <w:rFonts w:ascii="Arial" w:cs="Arial" w:eastAsia="Arial" w:hAnsi="Arial"/>
                  <w:sz w:val="16"/>
                  <w:szCs w:val="16"/>
                  <w:color w:val="0000FF"/>
                  <w:w w:val="91"/>
                </w:rPr>
                <w:t>Inc. and certain of its stockholders, dated October</w:t>
              </w:r>
            </w:hyperlink>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560" w:type="dxa"/>
            <w:vAlign w:val="bottom"/>
            <w:tcBorders>
              <w:bottom w:val="single" w:sz="8" w:color="0000FF"/>
            </w:tcBorders>
          </w:tcPr>
          <w:p>
            <w:pPr>
              <w:spacing w:after="0" w:line="142" w:lineRule="exact"/>
              <w:rPr>
                <w:rFonts w:ascii="Arial" w:cs="Arial" w:eastAsia="Arial" w:hAnsi="Arial"/>
                <w:sz w:val="16"/>
                <w:szCs w:val="16"/>
                <w:color w:val="0000FF"/>
                <w:w w:val="86"/>
              </w:rPr>
            </w:pPr>
            <w:hyperlink r:id="rId211">
              <w:r>
                <w:rPr>
                  <w:rFonts w:ascii="Arial" w:cs="Arial" w:eastAsia="Arial" w:hAnsi="Arial"/>
                  <w:sz w:val="16"/>
                  <w:szCs w:val="16"/>
                  <w:color w:val="0000FF"/>
                  <w:w w:val="86"/>
                </w:rPr>
                <w:t>28, 2020</w:t>
              </w:r>
            </w:hyperlink>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10.32</w:t>
            </w:r>
          </w:p>
        </w:tc>
        <w:tc>
          <w:tcPr>
            <w:tcW w:w="3480" w:type="dxa"/>
            <w:vAlign w:val="bottom"/>
            <w:gridSpan w:val="11"/>
          </w:tcPr>
          <w:p>
            <w:pPr>
              <w:spacing w:after="0"/>
              <w:rPr>
                <w:rFonts w:ascii="Arial" w:cs="Arial" w:eastAsia="Arial" w:hAnsi="Arial"/>
                <w:sz w:val="16"/>
                <w:szCs w:val="16"/>
                <w:color w:val="0000FF"/>
                <w:w w:val="98"/>
              </w:rPr>
            </w:pPr>
            <w:hyperlink r:id="rId212">
              <w:r>
                <w:rPr>
                  <w:rFonts w:ascii="Arial" w:cs="Arial" w:eastAsia="Arial" w:hAnsi="Arial"/>
                  <w:sz w:val="16"/>
                  <w:szCs w:val="16"/>
                  <w:color w:val="0000FF"/>
                  <w:w w:val="98"/>
                </w:rPr>
                <w:t>Board Observation Side Letter, dated January 26,</w:t>
              </w:r>
            </w:hyperlink>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96"/>
              </w:rPr>
              <w:t>8-K</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001-39658</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10.2</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0"/>
              </w:rPr>
              <w:t>January 27, 2022</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00" w:type="dxa"/>
            <w:vAlign w:val="bottom"/>
            <w:tcBorders>
              <w:top w:val="single" w:sz="8" w:color="0000FF"/>
            </w:tcBorders>
            <w:gridSpan w:val="7"/>
          </w:tcPr>
          <w:p>
            <w:pPr>
              <w:spacing w:after="0" w:line="142" w:lineRule="exact"/>
              <w:rPr>
                <w:rFonts w:ascii="Arial" w:cs="Arial" w:eastAsia="Arial" w:hAnsi="Arial"/>
                <w:sz w:val="16"/>
                <w:szCs w:val="16"/>
                <w:color w:val="0000FF"/>
                <w:w w:val="92"/>
              </w:rPr>
            </w:pPr>
            <w:hyperlink r:id="rId212">
              <w:r>
                <w:rPr>
                  <w:rFonts w:ascii="Arial" w:cs="Arial" w:eastAsia="Arial" w:hAnsi="Arial"/>
                  <w:sz w:val="16"/>
                  <w:szCs w:val="16"/>
                  <w:color w:val="0000FF"/>
                  <w:w w:val="92"/>
                </w:rPr>
                <w:t>2022, by and between the Company and GCO II</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0"/>
              </w:rPr>
            </w:pPr>
            <w:hyperlink r:id="rId212">
              <w:r>
                <w:rPr>
                  <w:rFonts w:ascii="Arial" w:cs="Arial" w:eastAsia="Arial" w:hAnsi="Arial"/>
                  <w:sz w:val="16"/>
                  <w:szCs w:val="16"/>
                  <w:color w:val="0000FF"/>
                  <w:w w:val="90"/>
                </w:rPr>
                <w:t>Aggregator 2 L.P.</w:t>
              </w:r>
            </w:hyperlink>
          </w:p>
        </w:tc>
        <w:tc>
          <w:tcPr>
            <w:tcW w:w="1980" w:type="dxa"/>
            <w:vAlign w:val="bottom"/>
            <w:tcBorders>
              <w:top w:val="single" w:sz="8" w:color="0000FF"/>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10.33</w:t>
            </w:r>
          </w:p>
        </w:tc>
        <w:tc>
          <w:tcPr>
            <w:tcW w:w="3480" w:type="dxa"/>
            <w:vAlign w:val="bottom"/>
            <w:gridSpan w:val="11"/>
          </w:tcPr>
          <w:p>
            <w:pPr>
              <w:spacing w:after="0"/>
              <w:rPr>
                <w:rFonts w:ascii="Arial" w:cs="Arial" w:eastAsia="Arial" w:hAnsi="Arial"/>
                <w:sz w:val="16"/>
                <w:szCs w:val="16"/>
                <w:color w:val="0000FF"/>
                <w:w w:val="97"/>
              </w:rPr>
            </w:pPr>
            <w:hyperlink r:id="rId213">
              <w:r>
                <w:rPr>
                  <w:rFonts w:ascii="Arial" w:cs="Arial" w:eastAsia="Arial" w:hAnsi="Arial"/>
                  <w:sz w:val="16"/>
                  <w:szCs w:val="16"/>
                  <w:color w:val="0000FF"/>
                  <w:w w:val="97"/>
                </w:rPr>
                <w:t>Registration Rights Agreement, dated January 26,</w:t>
              </w:r>
            </w:hyperlink>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96"/>
              </w:rPr>
              <w:t>8-K</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001-39658</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10.3</w:t>
            </w:r>
          </w:p>
        </w:tc>
        <w:tc>
          <w:tcPr>
            <w:tcW w:w="2580" w:type="dxa"/>
            <w:vAlign w:val="bottom"/>
          </w:tcPr>
          <w:p>
            <w:pPr>
              <w:jc w:val="center"/>
              <w:ind w:right="739"/>
              <w:spacing w:after="0"/>
              <w:rPr>
                <w:sz w:val="20"/>
                <w:szCs w:val="20"/>
                <w:color w:val="auto"/>
              </w:rPr>
            </w:pPr>
            <w:r>
              <w:rPr>
                <w:rFonts w:ascii="Arial" w:cs="Arial" w:eastAsia="Arial" w:hAnsi="Arial"/>
                <w:sz w:val="16"/>
                <w:szCs w:val="16"/>
                <w:color w:val="auto"/>
                <w:w w:val="90"/>
              </w:rPr>
              <w:t>January 27, 2022</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10"/>
          </w:tcPr>
          <w:p>
            <w:pPr>
              <w:spacing w:after="0" w:line="142" w:lineRule="exact"/>
              <w:rPr>
                <w:rFonts w:ascii="Arial" w:cs="Arial" w:eastAsia="Arial" w:hAnsi="Arial"/>
                <w:sz w:val="16"/>
                <w:szCs w:val="16"/>
                <w:color w:val="0000FF"/>
                <w:w w:val="91"/>
              </w:rPr>
            </w:pPr>
            <w:hyperlink r:id="rId213">
              <w:r>
                <w:rPr>
                  <w:rFonts w:ascii="Arial" w:cs="Arial" w:eastAsia="Arial" w:hAnsi="Arial"/>
                  <w:sz w:val="16"/>
                  <w:szCs w:val="16"/>
                  <w:color w:val="0000FF"/>
                  <w:w w:val="91"/>
                </w:rPr>
                <w:t>2022, by and between the Company and the other</w:t>
              </w:r>
            </w:hyperlink>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2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parties thereto.</w:t>
              </w:r>
            </w:hyperlink>
          </w:p>
        </w:tc>
        <w:tc>
          <w:tcPr>
            <w:tcW w:w="260" w:type="dxa"/>
            <w:vAlign w:val="bottom"/>
            <w:gridSpan w:val="3"/>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10.34*#</w:t>
            </w:r>
          </w:p>
        </w:tc>
        <w:tc>
          <w:tcPr>
            <w:tcW w:w="28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0"/>
              </w:rPr>
              <w:t>Separation and Transition Agreement dated</w:t>
            </w:r>
          </w:p>
        </w:tc>
        <w:tc>
          <w:tcPr>
            <w:tcW w:w="660" w:type="dxa"/>
            <w:vAlign w:val="bottom"/>
            <w:gridSpan w:val="7"/>
            <w:vMerge w:val="restart"/>
          </w:tcPr>
          <w:p>
            <w:pPr>
              <w:ind w:left="200"/>
              <w:spacing w:after="0"/>
              <w:rPr>
                <w:sz w:val="20"/>
                <w:szCs w:val="20"/>
                <w:color w:val="auto"/>
              </w:rPr>
            </w:pPr>
            <w:r>
              <w:rPr>
                <w:rFonts w:ascii="Arial" w:cs="Arial" w:eastAsia="Arial" w:hAnsi="Arial"/>
                <w:sz w:val="16"/>
                <w:szCs w:val="16"/>
                <w:u w:val="single" w:color="auto"/>
                <w:color w:val="0000FF"/>
              </w:rPr>
              <w:t>and</w:t>
            </w: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580" w:type="dxa"/>
            <w:vAlign w:val="bottom"/>
            <w:vMerge w:val="restart"/>
          </w:tcPr>
          <w:p>
            <w:pPr>
              <w:ind w:left="24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2820" w:type="dxa"/>
            <w:vAlign w:val="bottom"/>
            <w:gridSpan w:val="4"/>
          </w:tcPr>
          <w:p>
            <w:pPr>
              <w:spacing w:after="0" w:line="146" w:lineRule="exact"/>
              <w:rPr>
                <w:sz w:val="20"/>
                <w:szCs w:val="20"/>
                <w:color w:val="auto"/>
              </w:rPr>
            </w:pPr>
            <w:r>
              <w:rPr>
                <w:rFonts w:ascii="Arial" w:cs="Arial" w:eastAsia="Arial" w:hAnsi="Arial"/>
                <w:sz w:val="16"/>
                <w:szCs w:val="16"/>
                <w:u w:val="single" w:color="auto"/>
                <w:color w:val="0000FF"/>
                <w:w w:val="85"/>
              </w:rPr>
              <w:t>February 20, 2023, between Daniel Rosenthal</w:t>
            </w:r>
          </w:p>
        </w:tc>
        <w:tc>
          <w:tcPr>
            <w:tcW w:w="660" w:type="dxa"/>
            <w:vAlign w:val="bottom"/>
            <w:gridSpan w:val="7"/>
            <w:vMerge w:val="continue"/>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6"/>
          <w:szCs w:val="16"/>
          <w:u w:val="single" w:color="auto"/>
          <w:color w:val="0000FF"/>
        </w:rPr>
        <w:t>Root, Inc.</w:t>
      </w:r>
    </w:p>
    <w:p>
      <w:pPr>
        <w:sectPr>
          <w:pgSz w:w="11900" w:h="16838" w:orient="portrait"/>
          <w:cols w:equalWidth="0" w:num="1">
            <w:col w:w="11160"/>
          </w:cols>
          <w:pgMar w:left="320" w:top="1440" w:right="41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21.1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24.1</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Borders>
              <w:bottom w:val="single" w:sz="8" w:color="0000FF"/>
            </w:tcBorders>
          </w:tcPr>
          <w:p>
            <w:pPr>
              <w:spacing w:after="0"/>
              <w:rPr>
                <w:rFonts w:ascii="Arial" w:cs="Arial" w:eastAsia="Arial" w:hAnsi="Arial"/>
                <w:sz w:val="16"/>
                <w:szCs w:val="16"/>
                <w:color w:val="0000FF"/>
                <w:w w:val="93"/>
              </w:rPr>
            </w:pPr>
            <w:hyperlink r:id="rId214">
              <w:r>
                <w:rPr>
                  <w:rFonts w:ascii="Arial" w:cs="Arial" w:eastAsia="Arial" w:hAnsi="Arial"/>
                  <w:sz w:val="16"/>
                  <w:szCs w:val="16"/>
                  <w:color w:val="0000FF"/>
                  <w:w w:val="93"/>
                </w:rPr>
                <w:t>List of subsidiaries of Root, Inc.</w:t>
              </w:r>
            </w:hyperlink>
          </w:p>
        </w:tc>
        <w:tc>
          <w:tcPr>
            <w:tcW w:w="1440" w:type="dxa"/>
            <w:vAlign w:val="bottom"/>
            <w:gridSpan w:val="2"/>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10-K</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001-39658</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21.1</w:t>
            </w:r>
          </w:p>
        </w:tc>
        <w:tc>
          <w:tcPr>
            <w:tcW w:w="2580" w:type="dxa"/>
            <w:vAlign w:val="bottom"/>
          </w:tcPr>
          <w:p>
            <w:pPr>
              <w:ind w:left="280"/>
              <w:spacing w:after="0"/>
              <w:rPr>
                <w:sz w:val="20"/>
                <w:szCs w:val="20"/>
                <w:color w:val="auto"/>
              </w:rPr>
            </w:pPr>
            <w:r>
              <w:rPr>
                <w:rFonts w:ascii="Arial" w:cs="Arial" w:eastAsia="Arial" w:hAnsi="Arial"/>
                <w:sz w:val="16"/>
                <w:szCs w:val="16"/>
                <w:color w:val="auto"/>
              </w:rPr>
              <w:t>February 23, 2022</w:t>
            </w:r>
          </w:p>
        </w:tc>
        <w:tc>
          <w:tcPr>
            <w:tcW w:w="0" w:type="dxa"/>
            <w:vAlign w:val="bottom"/>
          </w:tcPr>
          <w:p>
            <w:pPr>
              <w:spacing w:after="0"/>
              <w:rPr>
                <w:sz w:val="1"/>
                <w:szCs w:val="1"/>
                <w:color w:val="auto"/>
              </w:rPr>
            </w:pPr>
          </w:p>
        </w:tc>
      </w:tr>
      <w:tr>
        <w:trPr>
          <w:trHeight w:val="277"/>
        </w:trPr>
        <w:tc>
          <w:tcPr>
            <w:tcW w:w="3540" w:type="dxa"/>
            <w:vAlign w:val="bottom"/>
            <w:gridSpan w:val="3"/>
          </w:tcPr>
          <w:p>
            <w:pPr>
              <w:spacing w:after="0"/>
              <w:rPr>
                <w:sz w:val="20"/>
                <w:szCs w:val="20"/>
                <w:color w:val="auto"/>
              </w:rPr>
            </w:pPr>
            <w:r>
              <w:rPr>
                <w:rFonts w:ascii="Arial" w:cs="Arial" w:eastAsia="Arial" w:hAnsi="Arial"/>
                <w:sz w:val="16"/>
                <w:szCs w:val="16"/>
                <w:color w:val="0000FF"/>
              </w:rPr>
              <w:t>Consent of Deloitte &amp; Touche LLP.</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580" w:type="dxa"/>
            <w:vAlign w:val="bottom"/>
          </w:tcPr>
          <w:p>
            <w:pPr>
              <w:ind w:left="24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23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540" w:type="dxa"/>
            <w:vAlign w:val="bottom"/>
            <w:gridSpan w:val="3"/>
          </w:tcPr>
          <w:p>
            <w:pPr>
              <w:spacing w:after="0"/>
              <w:rPr>
                <w:sz w:val="20"/>
                <w:szCs w:val="20"/>
                <w:color w:val="auto"/>
              </w:rPr>
            </w:pPr>
            <w:r>
              <w:rPr>
                <w:rFonts w:ascii="Arial" w:cs="Arial" w:eastAsia="Arial" w:hAnsi="Arial"/>
                <w:sz w:val="16"/>
                <w:szCs w:val="16"/>
                <w:color w:val="auto"/>
                <w:w w:val="96"/>
              </w:rPr>
              <w:t>Power of Attorney (incorporated by reference to the</w:t>
            </w:r>
          </w:p>
        </w:tc>
        <w:tc>
          <w:tcPr>
            <w:tcW w:w="8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580" w:type="dxa"/>
            <w:vAlign w:val="bottom"/>
            <w:vMerge w:val="restart"/>
          </w:tcPr>
          <w:p>
            <w:pPr>
              <w:ind w:left="246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2"/>
        </w:trPr>
        <w:tc>
          <w:tcPr>
            <w:tcW w:w="3540" w:type="dxa"/>
            <w:vAlign w:val="bottom"/>
            <w:gridSpan w:val="3"/>
          </w:tcPr>
          <w:p>
            <w:pPr>
              <w:spacing w:after="0" w:line="162" w:lineRule="exact"/>
              <w:rPr>
                <w:sz w:val="20"/>
                <w:szCs w:val="20"/>
                <w:color w:val="auto"/>
              </w:rPr>
            </w:pPr>
            <w:r>
              <w:rPr>
                <w:rFonts w:ascii="Arial" w:cs="Arial" w:eastAsia="Arial" w:hAnsi="Arial"/>
                <w:sz w:val="16"/>
                <w:szCs w:val="16"/>
                <w:color w:val="auto"/>
                <w:w w:val="97"/>
              </w:rPr>
              <w:t>signature pages of this Annual Report on Form 10-</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540" w:type="dxa"/>
            <w:vAlign w:val="bottom"/>
            <w:gridSpan w:val="3"/>
          </w:tcPr>
          <w:p>
            <w:pPr>
              <w:spacing w:after="0"/>
              <w:rPr>
                <w:sz w:val="20"/>
                <w:szCs w:val="20"/>
                <w:color w:val="auto"/>
              </w:rPr>
            </w:pPr>
            <w:r>
              <w:rPr>
                <w:rFonts w:ascii="Arial" w:cs="Arial" w:eastAsia="Arial" w:hAnsi="Arial"/>
                <w:sz w:val="16"/>
                <w:szCs w:val="16"/>
                <w:color w:val="auto"/>
              </w:rPr>
              <w:t>K).</w:t>
            </w: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ectPr>
          <w:pgSz w:w="11900" w:h="16838" w:orient="portrait"/>
          <w:cols w:equalWidth="0" w:num="2">
            <w:col w:w="560" w:space="720"/>
            <w:col w:w="9880"/>
          </w:cols>
          <w:pgMar w:left="320" w:top="1440" w:right="41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Arial" w:cs="Arial" w:eastAsia="Arial" w:hAnsi="Arial"/>
                <w:sz w:val="16"/>
                <w:szCs w:val="16"/>
                <w:color w:val="auto"/>
              </w:rPr>
              <w:t>31.1</w:t>
            </w:r>
          </w:p>
        </w:tc>
        <w:tc>
          <w:tcPr>
            <w:tcW w:w="34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3"/>
              </w:rPr>
              <w:t>Certification of Principal Executive Officer Pursuant</w:t>
            </w:r>
          </w:p>
        </w:tc>
        <w:tc>
          <w:tcPr>
            <w:tcW w:w="2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20" w:type="dxa"/>
            <w:vAlign w:val="bottom"/>
            <w:gridSpan w:val="11"/>
          </w:tcPr>
          <w:p>
            <w:pPr>
              <w:spacing w:after="0" w:line="142" w:lineRule="exact"/>
              <w:rPr>
                <w:sz w:val="20"/>
                <w:szCs w:val="20"/>
                <w:color w:val="auto"/>
              </w:rPr>
            </w:pPr>
            <w:r>
              <w:rPr>
                <w:rFonts w:ascii="Arial" w:cs="Arial" w:eastAsia="Arial" w:hAnsi="Arial"/>
                <w:sz w:val="16"/>
                <w:szCs w:val="16"/>
                <w:color w:val="0000FF"/>
              </w:rPr>
              <w:t>to Rules 13a-14(a) and 15d-14(a) under the</w:t>
            </w:r>
          </w:p>
        </w:tc>
        <w:tc>
          <w:tcPr>
            <w:tcW w:w="2900" w:type="dxa"/>
            <w:vAlign w:val="bottom"/>
          </w:tcPr>
          <w:p>
            <w:pPr>
              <w:spacing w:after="0"/>
              <w:rPr>
                <w:sz w:val="12"/>
                <w:szCs w:val="12"/>
                <w:color w:val="auto"/>
              </w:rPr>
            </w:pPr>
          </w:p>
        </w:tc>
        <w:tc>
          <w:tcPr>
            <w:tcW w:w="3020" w:type="dxa"/>
            <w:vAlign w:val="bottom"/>
            <w:vMerge w:val="restart"/>
          </w:tcPr>
          <w:p>
            <w:pPr>
              <w:ind w:left="290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6320" w:type="dxa"/>
            <w:vAlign w:val="bottom"/>
            <w:gridSpan w:val="12"/>
          </w:tcPr>
          <w:p>
            <w:pPr>
              <w:spacing w:after="0" w:line="142" w:lineRule="exact"/>
              <w:rPr>
                <w:sz w:val="20"/>
                <w:szCs w:val="20"/>
                <w:color w:val="auto"/>
              </w:rPr>
            </w:pPr>
            <w:r>
              <w:rPr>
                <w:rFonts w:ascii="Arial" w:cs="Arial" w:eastAsia="Arial" w:hAnsi="Arial"/>
                <w:sz w:val="16"/>
                <w:szCs w:val="16"/>
                <w:color w:val="0000FF"/>
              </w:rPr>
              <w:t>Securities Exchange Act of 1934, as Adopted</w:t>
            </w:r>
          </w:p>
        </w:tc>
        <w:tc>
          <w:tcPr>
            <w:tcW w:w="3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9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87"/>
              </w:rPr>
              <w:t>Pursuant to Section 302 of the Sarbanes-Oxley</w:t>
            </w:r>
          </w:p>
        </w:tc>
        <w:tc>
          <w:tcPr>
            <w:tcW w:w="3380" w:type="dxa"/>
            <w:vAlign w:val="bottom"/>
            <w:gridSpan w:val="8"/>
          </w:tcPr>
          <w:p>
            <w:pPr>
              <w:ind w:left="140"/>
              <w:spacing w:after="0" w:line="142" w:lineRule="exact"/>
              <w:rPr>
                <w:sz w:val="20"/>
                <w:szCs w:val="20"/>
                <w:color w:val="auto"/>
              </w:rPr>
            </w:pPr>
            <w:r>
              <w:rPr>
                <w:rFonts w:ascii="Arial" w:cs="Arial" w:eastAsia="Arial" w:hAnsi="Arial"/>
                <w:sz w:val="16"/>
                <w:szCs w:val="16"/>
                <w:color w:val="0000FF"/>
              </w:rPr>
              <w:t>Act</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0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of 2002.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2"/>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31.2</w:t>
            </w:r>
          </w:p>
        </w:tc>
        <w:tc>
          <w:tcPr>
            <w:tcW w:w="6320" w:type="dxa"/>
            <w:vAlign w:val="bottom"/>
            <w:gridSpan w:val="12"/>
          </w:tcPr>
          <w:p>
            <w:pPr>
              <w:spacing w:after="0"/>
              <w:rPr>
                <w:sz w:val="20"/>
                <w:szCs w:val="20"/>
                <w:color w:val="auto"/>
              </w:rPr>
            </w:pPr>
            <w:r>
              <w:rPr>
                <w:rFonts w:ascii="Arial" w:cs="Arial" w:eastAsia="Arial" w:hAnsi="Arial"/>
                <w:sz w:val="16"/>
                <w:szCs w:val="16"/>
                <w:color w:val="0000FF"/>
              </w:rPr>
              <w:t>Certification of Principal Financial Officer Pursuant</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8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to Rules 13a-14(a) and 15d-14(a) under the</w:t>
            </w:r>
          </w:p>
        </w:tc>
        <w:tc>
          <w:tcPr>
            <w:tcW w:w="2940" w:type="dxa"/>
            <w:vAlign w:val="bottom"/>
            <w:gridSpan w:val="2"/>
          </w:tcPr>
          <w:p>
            <w:pPr>
              <w:spacing w:after="0"/>
              <w:rPr>
                <w:sz w:val="12"/>
                <w:szCs w:val="12"/>
                <w:color w:val="auto"/>
              </w:rPr>
            </w:pPr>
          </w:p>
        </w:tc>
        <w:tc>
          <w:tcPr>
            <w:tcW w:w="3020" w:type="dxa"/>
            <w:vAlign w:val="bottom"/>
            <w:vMerge w:val="restart"/>
          </w:tcPr>
          <w:p>
            <w:pPr>
              <w:ind w:left="290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6320" w:type="dxa"/>
            <w:vAlign w:val="bottom"/>
            <w:gridSpan w:val="12"/>
          </w:tcPr>
          <w:p>
            <w:pPr>
              <w:spacing w:after="0" w:line="142" w:lineRule="exact"/>
              <w:rPr>
                <w:sz w:val="20"/>
                <w:szCs w:val="20"/>
                <w:color w:val="auto"/>
              </w:rPr>
            </w:pPr>
            <w:r>
              <w:rPr>
                <w:rFonts w:ascii="Arial" w:cs="Arial" w:eastAsia="Arial" w:hAnsi="Arial"/>
                <w:sz w:val="16"/>
                <w:szCs w:val="16"/>
                <w:color w:val="0000FF"/>
              </w:rPr>
              <w:t>Securities Exchange Act of 1934, as Adopted</w:t>
            </w:r>
          </w:p>
        </w:tc>
        <w:tc>
          <w:tcPr>
            <w:tcW w:w="3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9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87"/>
              </w:rPr>
              <w:t>Pursuant to Section 302 of the Sarbanes-Oxley</w:t>
            </w:r>
          </w:p>
        </w:tc>
        <w:tc>
          <w:tcPr>
            <w:tcW w:w="3380" w:type="dxa"/>
            <w:vAlign w:val="bottom"/>
            <w:gridSpan w:val="8"/>
          </w:tcPr>
          <w:p>
            <w:pPr>
              <w:ind w:left="140"/>
              <w:spacing w:after="0" w:line="142" w:lineRule="exact"/>
              <w:rPr>
                <w:sz w:val="20"/>
                <w:szCs w:val="20"/>
                <w:color w:val="auto"/>
              </w:rPr>
            </w:pPr>
            <w:r>
              <w:rPr>
                <w:rFonts w:ascii="Arial" w:cs="Arial" w:eastAsia="Arial" w:hAnsi="Arial"/>
                <w:sz w:val="16"/>
                <w:szCs w:val="16"/>
                <w:color w:val="0000FF"/>
              </w:rPr>
              <w:t>Act</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2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of 2002.</w:t>
            </w:r>
          </w:p>
        </w:tc>
        <w:tc>
          <w:tcPr>
            <w:tcW w:w="3000" w:type="dxa"/>
            <w:vAlign w:val="bottom"/>
            <w:gridSpan w:val="3"/>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6"/>
                <w:szCs w:val="16"/>
                <w:color w:val="auto"/>
              </w:rPr>
              <w:t>32.1†</w:t>
            </w:r>
          </w:p>
        </w:tc>
        <w:tc>
          <w:tcPr>
            <w:tcW w:w="6320" w:type="dxa"/>
            <w:vAlign w:val="bottom"/>
            <w:gridSpan w:val="12"/>
          </w:tcPr>
          <w:p>
            <w:pPr>
              <w:spacing w:after="0"/>
              <w:rPr>
                <w:sz w:val="20"/>
                <w:szCs w:val="20"/>
                <w:color w:val="auto"/>
              </w:rPr>
            </w:pPr>
            <w:r>
              <w:rPr>
                <w:rFonts w:ascii="Arial" w:cs="Arial" w:eastAsia="Arial" w:hAnsi="Arial"/>
                <w:sz w:val="16"/>
                <w:szCs w:val="16"/>
                <w:color w:val="0000FF"/>
              </w:rPr>
              <w:t>Certification of Principal Executive Officer and</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w w:val="89"/>
              </w:rPr>
              <w:t>Principal Financial Officer Pursuant to 18 U.S.C.</w:t>
            </w:r>
          </w:p>
        </w:tc>
        <w:tc>
          <w:tcPr>
            <w:tcW w:w="10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5"/>
          </w:tcPr>
          <w:p>
            <w:pPr>
              <w:spacing w:after="0"/>
              <w:rPr>
                <w:sz w:val="12"/>
                <w:szCs w:val="12"/>
                <w:color w:val="auto"/>
              </w:rPr>
            </w:pPr>
          </w:p>
        </w:tc>
        <w:tc>
          <w:tcPr>
            <w:tcW w:w="3020" w:type="dxa"/>
            <w:vAlign w:val="bottom"/>
            <w:vMerge w:val="restart"/>
          </w:tcPr>
          <w:p>
            <w:pPr>
              <w:ind w:left="2900"/>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96"/>
        </w:trPr>
        <w:tc>
          <w:tcPr>
            <w:tcW w:w="1260" w:type="dxa"/>
            <w:vAlign w:val="bottom"/>
          </w:tcPr>
          <w:p>
            <w:pPr>
              <w:spacing w:after="0"/>
              <w:rPr>
                <w:sz w:val="8"/>
                <w:szCs w:val="8"/>
                <w:color w:val="auto"/>
              </w:rPr>
            </w:pPr>
          </w:p>
        </w:tc>
        <w:tc>
          <w:tcPr>
            <w:tcW w:w="6320" w:type="dxa"/>
            <w:vAlign w:val="bottom"/>
            <w:gridSpan w:val="12"/>
            <w:vMerge w:val="restart"/>
          </w:tcPr>
          <w:p>
            <w:pPr>
              <w:spacing w:after="0" w:line="142" w:lineRule="exact"/>
              <w:rPr>
                <w:sz w:val="20"/>
                <w:szCs w:val="20"/>
                <w:color w:val="auto"/>
              </w:rPr>
            </w:pPr>
            <w:r>
              <w:rPr>
                <w:rFonts w:ascii="Arial" w:cs="Arial" w:eastAsia="Arial" w:hAnsi="Arial"/>
                <w:sz w:val="16"/>
                <w:szCs w:val="16"/>
                <w:color w:val="0000FF"/>
              </w:rPr>
              <w:t>Section 1350, as Adopted Pursuant to Section 906</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260" w:type="dxa"/>
            <w:vAlign w:val="bottom"/>
          </w:tcPr>
          <w:p>
            <w:pPr>
              <w:spacing w:after="0"/>
              <w:rPr>
                <w:sz w:val="4"/>
                <w:szCs w:val="4"/>
                <w:color w:val="auto"/>
              </w:rPr>
            </w:pPr>
          </w:p>
        </w:tc>
        <w:tc>
          <w:tcPr>
            <w:tcW w:w="6320" w:type="dxa"/>
            <w:vAlign w:val="bottom"/>
            <w:gridSpan w:val="12"/>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of the Sarbanes-Oxley Act of 2002.</w:t>
            </w:r>
          </w:p>
        </w:tc>
        <w:tc>
          <w:tcPr>
            <w:tcW w:w="3060" w:type="dxa"/>
            <w:vAlign w:val="bottom"/>
            <w:gridSpan w:val="5"/>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0"/>
                <w:szCs w:val="20"/>
                <w:color w:val="auto"/>
              </w:rPr>
            </w:pPr>
            <w:r>
              <w:rPr>
                <w:rFonts w:ascii="Arial" w:cs="Arial" w:eastAsia="Arial" w:hAnsi="Arial"/>
                <w:sz w:val="16"/>
                <w:szCs w:val="16"/>
                <w:color w:val="auto"/>
              </w:rPr>
              <w:t>101.INS</w:t>
            </w:r>
          </w:p>
        </w:tc>
        <w:tc>
          <w:tcPr>
            <w:tcW w:w="230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4020" w:type="dxa"/>
            <w:vAlign w:val="bottom"/>
            <w:gridSpan w:val="10"/>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101.SCH</w:t>
            </w:r>
          </w:p>
        </w:tc>
        <w:tc>
          <w:tcPr>
            <w:tcW w:w="632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632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101.CAL</w:t>
            </w:r>
          </w:p>
        </w:tc>
        <w:tc>
          <w:tcPr>
            <w:tcW w:w="632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6320" w:type="dxa"/>
            <w:vAlign w:val="bottom"/>
            <w:gridSpan w:val="12"/>
          </w:tcPr>
          <w:p>
            <w:pPr>
              <w:spacing w:after="0"/>
              <w:rPr>
                <w:sz w:val="20"/>
                <w:szCs w:val="20"/>
                <w:color w:val="auto"/>
              </w:rPr>
            </w:pPr>
            <w:r>
              <w:rPr>
                <w:rFonts w:ascii="Arial" w:cs="Arial" w:eastAsia="Arial" w:hAnsi="Arial"/>
                <w:sz w:val="16"/>
                <w:szCs w:val="16"/>
                <w:color w:val="auto"/>
              </w:rPr>
              <w:t>Linkbase Document</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101.DEF</w:t>
            </w:r>
          </w:p>
        </w:tc>
        <w:tc>
          <w:tcPr>
            <w:tcW w:w="632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6320" w:type="dxa"/>
            <w:vAlign w:val="bottom"/>
            <w:gridSpan w:val="12"/>
          </w:tcPr>
          <w:p>
            <w:pPr>
              <w:spacing w:after="0"/>
              <w:rPr>
                <w:sz w:val="20"/>
                <w:szCs w:val="20"/>
                <w:color w:val="auto"/>
              </w:rPr>
            </w:pPr>
            <w:r>
              <w:rPr>
                <w:rFonts w:ascii="Arial" w:cs="Arial" w:eastAsia="Arial" w:hAnsi="Arial"/>
                <w:sz w:val="16"/>
                <w:szCs w:val="16"/>
                <w:color w:val="auto"/>
              </w:rPr>
              <w:t>Linkbase Document</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101.LAB</w:t>
            </w:r>
          </w:p>
        </w:tc>
        <w:tc>
          <w:tcPr>
            <w:tcW w:w="632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632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60" w:type="dxa"/>
            <w:vAlign w:val="bottom"/>
          </w:tcPr>
          <w:p>
            <w:pPr>
              <w:spacing w:after="0"/>
              <w:rPr>
                <w:sz w:val="20"/>
                <w:szCs w:val="20"/>
                <w:color w:val="auto"/>
              </w:rPr>
            </w:pPr>
            <w:r>
              <w:rPr>
                <w:rFonts w:ascii="Arial" w:cs="Arial" w:eastAsia="Arial" w:hAnsi="Arial"/>
                <w:sz w:val="16"/>
                <w:szCs w:val="16"/>
                <w:color w:val="auto"/>
              </w:rPr>
              <w:t>101.PRE</w:t>
            </w:r>
          </w:p>
        </w:tc>
        <w:tc>
          <w:tcPr>
            <w:tcW w:w="632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6320" w:type="dxa"/>
            <w:vAlign w:val="bottom"/>
            <w:gridSpan w:val="12"/>
          </w:tcPr>
          <w:p>
            <w:pPr>
              <w:spacing w:after="0"/>
              <w:rPr>
                <w:sz w:val="20"/>
                <w:szCs w:val="20"/>
                <w:color w:val="auto"/>
              </w:rPr>
            </w:pPr>
            <w:r>
              <w:rPr>
                <w:rFonts w:ascii="Arial" w:cs="Arial" w:eastAsia="Arial" w:hAnsi="Arial"/>
                <w:sz w:val="16"/>
                <w:szCs w:val="16"/>
                <w:color w:val="auto"/>
              </w:rPr>
              <w:t>Linkbase Document</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280" w:right="6860" w:hanging="1254"/>
        <w:spacing w:after="0" w:line="272" w:lineRule="auto"/>
        <w:tabs>
          <w:tab w:leader="none" w:pos="12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left="180" w:hanging="172"/>
        <w:spacing w:after="0" w:line="247" w:lineRule="auto"/>
        <w:tabs>
          <w:tab w:leader="none" w:pos="126" w:val="left"/>
        </w:tabs>
        <w:numPr>
          <w:ilvl w:val="0"/>
          <w:numId w:val="51"/>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601(a)(5) and (b)(10). The Company agrees to furnish supplementally a copy of any omitted schedule or exhibit to the SEC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5" w:lineRule="exact"/>
        <w:rPr>
          <w:sz w:val="20"/>
          <w:szCs w:val="20"/>
          <w:color w:val="auto"/>
        </w:rPr>
      </w:pPr>
    </w:p>
    <w:p>
      <w:pPr>
        <w:ind w:left="180" w:right="300" w:hanging="172"/>
        <w:spacing w:after="0" w:line="283" w:lineRule="auto"/>
        <w:tabs>
          <w:tab w:leader="none" w:pos="126"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54" w:name="page155"/>
    <w:bookmarkEnd w:id="15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5" w:name="page156"/>
    <w:bookmarkEnd w:id="155"/>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ROOT, INC.</w:t>
      </w:r>
    </w:p>
    <w:p>
      <w:pPr>
        <w:spacing w:after="0" w:line="6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34925</wp:posOffset>
            </wp:positionV>
            <wp:extent cx="21774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Alexander Timm</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2105660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56" w:name="page157"/>
    <w:bookmarkEnd w:id="15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Alexander Timm, Robert Bateman and Megan Binkley,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452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Title</w:t>
            </w:r>
          </w:p>
        </w:tc>
        <w:tc>
          <w:tcPr>
            <w:tcW w:w="2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33"/>
        </w:trPr>
        <w:tc>
          <w:tcPr>
            <w:tcW w:w="44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4440" w:type="dxa"/>
            <w:vAlign w:val="bottom"/>
          </w:tcPr>
          <w:p>
            <w:pPr>
              <w:jc w:val="center"/>
              <w:spacing w:after="0"/>
              <w:rPr>
                <w:sz w:val="20"/>
                <w:szCs w:val="20"/>
                <w:color w:val="auto"/>
              </w:rPr>
            </w:pPr>
            <w:r>
              <w:rPr>
                <w:rFonts w:ascii="Arial" w:cs="Arial" w:eastAsia="Arial" w:hAnsi="Arial"/>
                <w:sz w:val="16"/>
                <w:szCs w:val="16"/>
                <w:color w:val="auto"/>
                <w:w w:val="94"/>
              </w:rPr>
              <w:t>/s/ Alexander Timm</w:t>
            </w:r>
          </w:p>
        </w:tc>
        <w:tc>
          <w:tcPr>
            <w:tcW w:w="4520" w:type="dxa"/>
            <w:vAlign w:val="bottom"/>
          </w:tcPr>
          <w:p>
            <w:pPr>
              <w:jc w:val="center"/>
              <w:ind w:right="199"/>
              <w:spacing w:after="0"/>
              <w:rPr>
                <w:sz w:val="20"/>
                <w:szCs w:val="20"/>
                <w:color w:val="auto"/>
              </w:rPr>
            </w:pPr>
            <w:r>
              <w:rPr>
                <w:rFonts w:ascii="Arial" w:cs="Arial" w:eastAsia="Arial" w:hAnsi="Arial"/>
                <w:sz w:val="16"/>
                <w:szCs w:val="16"/>
                <w:color w:val="auto"/>
                <w:w w:val="94"/>
              </w:rPr>
              <w:t>Chief Executive Officer and 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4520" w:type="dxa"/>
            <w:vAlign w:val="bottom"/>
            <w:vMerge w:val="restart"/>
          </w:tcPr>
          <w:p>
            <w:pPr>
              <w:jc w:val="center"/>
              <w:ind w:right="199"/>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i w:val="1"/>
                <w:iCs w:val="1"/>
                <w:color w:val="auto"/>
                <w:w w:val="95"/>
              </w:rPr>
              <w:t>Principal Executive Officer</w:t>
            </w:r>
            <w:r>
              <w:rPr>
                <w:rFonts w:ascii="Arial" w:cs="Arial" w:eastAsia="Arial" w:hAnsi="Arial"/>
                <w:sz w:val="16"/>
                <w:szCs w:val="16"/>
                <w:color w:val="auto"/>
                <w:w w:val="95"/>
              </w:rPr>
              <w:t>)</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40" w:type="dxa"/>
            <w:vAlign w:val="bottom"/>
          </w:tcPr>
          <w:p>
            <w:pPr>
              <w:jc w:val="center"/>
              <w:spacing w:after="0"/>
              <w:rPr>
                <w:sz w:val="20"/>
                <w:szCs w:val="20"/>
                <w:color w:val="auto"/>
              </w:rPr>
            </w:pPr>
            <w:r>
              <w:rPr>
                <w:rFonts w:ascii="Arial" w:cs="Arial" w:eastAsia="Arial" w:hAnsi="Arial"/>
                <w:sz w:val="16"/>
                <w:szCs w:val="16"/>
                <w:color w:val="auto"/>
                <w:w w:val="96"/>
              </w:rPr>
              <w:t>Alexander Timm</w:t>
            </w:r>
          </w:p>
        </w:tc>
        <w:tc>
          <w:tcPr>
            <w:tcW w:w="45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4440" w:type="dxa"/>
            <w:vAlign w:val="bottom"/>
          </w:tcPr>
          <w:p>
            <w:pPr>
              <w:jc w:val="center"/>
              <w:spacing w:after="0"/>
              <w:rPr>
                <w:sz w:val="20"/>
                <w:szCs w:val="20"/>
                <w:color w:val="auto"/>
              </w:rPr>
            </w:pPr>
            <w:r>
              <w:rPr>
                <w:rFonts w:ascii="Arial" w:cs="Arial" w:eastAsia="Arial" w:hAnsi="Arial"/>
                <w:sz w:val="16"/>
                <w:szCs w:val="16"/>
                <w:color w:val="auto"/>
                <w:w w:val="89"/>
              </w:rPr>
              <w:t>/s/ Robert Bateman</w:t>
            </w:r>
          </w:p>
        </w:tc>
        <w:tc>
          <w:tcPr>
            <w:tcW w:w="4520" w:type="dxa"/>
            <w:vAlign w:val="bottom"/>
          </w:tcPr>
          <w:p>
            <w:pPr>
              <w:jc w:val="center"/>
              <w:ind w:right="199"/>
              <w:spacing w:after="0"/>
              <w:rPr>
                <w:sz w:val="20"/>
                <w:szCs w:val="20"/>
                <w:color w:val="auto"/>
              </w:rPr>
            </w:pPr>
            <w:r>
              <w:rPr>
                <w:rFonts w:ascii="Arial" w:cs="Arial" w:eastAsia="Arial" w:hAnsi="Arial"/>
                <w:sz w:val="16"/>
                <w:szCs w:val="16"/>
                <w:color w:val="auto"/>
                <w:w w:val="93"/>
              </w:rPr>
              <w:t>Chief Financial Officer and Treasurer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4520" w:type="dxa"/>
            <w:vAlign w:val="bottom"/>
            <w:vMerge w:val="restart"/>
          </w:tcPr>
          <w:p>
            <w:pPr>
              <w:jc w:val="center"/>
              <w:ind w:right="199"/>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i w:val="1"/>
                <w:iCs w:val="1"/>
                <w:color w:val="auto"/>
                <w:w w:val="97"/>
              </w:rPr>
              <w:t>Principal Financial Officer</w:t>
            </w:r>
            <w:r>
              <w:rPr>
                <w:rFonts w:ascii="Arial" w:cs="Arial" w:eastAsia="Arial" w:hAnsi="Arial"/>
                <w:sz w:val="16"/>
                <w:szCs w:val="16"/>
                <w:color w:val="auto"/>
                <w:w w:val="97"/>
              </w:rPr>
              <w:t>)</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40" w:type="dxa"/>
            <w:vAlign w:val="bottom"/>
          </w:tcPr>
          <w:p>
            <w:pPr>
              <w:jc w:val="center"/>
              <w:spacing w:after="0"/>
              <w:rPr>
                <w:sz w:val="20"/>
                <w:szCs w:val="20"/>
                <w:color w:val="auto"/>
              </w:rPr>
            </w:pPr>
            <w:r>
              <w:rPr>
                <w:rFonts w:ascii="Arial" w:cs="Arial" w:eastAsia="Arial" w:hAnsi="Arial"/>
                <w:sz w:val="16"/>
                <w:szCs w:val="16"/>
                <w:color w:val="auto"/>
                <w:w w:val="90"/>
              </w:rPr>
              <w:t>Robert Bateman</w:t>
            </w:r>
          </w:p>
        </w:tc>
        <w:tc>
          <w:tcPr>
            <w:tcW w:w="45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Megan Binkley</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5"/>
              </w:rPr>
              <w:t>Deputy Chief Financial Officer (</w:t>
            </w:r>
            <w:r>
              <w:rPr>
                <w:rFonts w:ascii="Arial" w:cs="Arial" w:eastAsia="Arial" w:hAnsi="Arial"/>
                <w:sz w:val="16"/>
                <w:szCs w:val="16"/>
                <w:i w:val="1"/>
                <w:iCs w:val="1"/>
                <w:color w:val="auto"/>
                <w:w w:val="95"/>
              </w:rPr>
              <w:t>Principal Accounting Officer</w:t>
            </w:r>
            <w:r>
              <w:rPr>
                <w:rFonts w:ascii="Arial" w:cs="Arial" w:eastAsia="Arial" w:hAnsi="Arial"/>
                <w:sz w:val="16"/>
                <w:szCs w:val="16"/>
                <w:color w:val="auto"/>
                <w:w w:val="95"/>
              </w:rPr>
              <w:t>)</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6"/>
        </w:trPr>
        <w:tc>
          <w:tcPr>
            <w:tcW w:w="4440" w:type="dxa"/>
            <w:vAlign w:val="bottom"/>
          </w:tcPr>
          <w:p>
            <w:pPr>
              <w:jc w:val="center"/>
              <w:spacing w:after="0"/>
              <w:rPr>
                <w:sz w:val="20"/>
                <w:szCs w:val="20"/>
                <w:color w:val="auto"/>
              </w:rPr>
            </w:pPr>
            <w:r>
              <w:rPr>
                <w:rFonts w:ascii="Arial" w:cs="Arial" w:eastAsia="Arial" w:hAnsi="Arial"/>
                <w:sz w:val="16"/>
                <w:szCs w:val="16"/>
                <w:color w:val="auto"/>
                <w:w w:val="95"/>
              </w:rPr>
              <w:t>Megan Binkley</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Doug Ulman</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6"/>
        </w:trPr>
        <w:tc>
          <w:tcPr>
            <w:tcW w:w="4440" w:type="dxa"/>
            <w:vAlign w:val="bottom"/>
          </w:tcPr>
          <w:p>
            <w:pPr>
              <w:jc w:val="center"/>
              <w:spacing w:after="0"/>
              <w:rPr>
                <w:sz w:val="20"/>
                <w:szCs w:val="20"/>
                <w:color w:val="auto"/>
              </w:rPr>
            </w:pPr>
            <w:r>
              <w:rPr>
                <w:rFonts w:ascii="Arial" w:cs="Arial" w:eastAsia="Arial" w:hAnsi="Arial"/>
                <w:sz w:val="16"/>
                <w:szCs w:val="16"/>
                <w:color w:val="auto"/>
                <w:w w:val="94"/>
              </w:rPr>
              <w:t>Doug Ulman</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Jerri DeVard</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6"/>
        </w:trPr>
        <w:tc>
          <w:tcPr>
            <w:tcW w:w="4440" w:type="dxa"/>
            <w:vAlign w:val="bottom"/>
          </w:tcPr>
          <w:p>
            <w:pPr>
              <w:jc w:val="center"/>
              <w:spacing w:after="0"/>
              <w:rPr>
                <w:sz w:val="20"/>
                <w:szCs w:val="20"/>
                <w:color w:val="auto"/>
              </w:rPr>
            </w:pPr>
            <w:r>
              <w:rPr>
                <w:rFonts w:ascii="Arial" w:cs="Arial" w:eastAsia="Arial" w:hAnsi="Arial"/>
                <w:sz w:val="16"/>
                <w:szCs w:val="16"/>
                <w:color w:val="auto"/>
                <w:w w:val="91"/>
              </w:rPr>
              <w:t>Jerri DeVard</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Larry Hilsheimer</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Arial" w:cs="Arial" w:eastAsia="Arial" w:hAnsi="Arial"/>
                <w:sz w:val="16"/>
                <w:szCs w:val="16"/>
                <w:color w:val="auto"/>
                <w:w w:val="96"/>
              </w:rPr>
              <w:t>Larry Hilsheimer</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Beth Birnbaum</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6"/>
        </w:trPr>
        <w:tc>
          <w:tcPr>
            <w:tcW w:w="4440" w:type="dxa"/>
            <w:vAlign w:val="bottom"/>
          </w:tcPr>
          <w:p>
            <w:pPr>
              <w:jc w:val="center"/>
              <w:spacing w:after="0"/>
              <w:rPr>
                <w:sz w:val="20"/>
                <w:szCs w:val="20"/>
                <w:color w:val="auto"/>
              </w:rPr>
            </w:pPr>
            <w:r>
              <w:rPr>
                <w:rFonts w:ascii="Arial" w:cs="Arial" w:eastAsia="Arial" w:hAnsi="Arial"/>
                <w:sz w:val="16"/>
                <w:szCs w:val="16"/>
                <w:color w:val="auto"/>
                <w:w w:val="94"/>
              </w:rPr>
              <w:t>Beth Birnbaum</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Nancy Kramer</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6"/>
        </w:trPr>
        <w:tc>
          <w:tcPr>
            <w:tcW w:w="4440" w:type="dxa"/>
            <w:vAlign w:val="bottom"/>
          </w:tcPr>
          <w:p>
            <w:pPr>
              <w:jc w:val="center"/>
              <w:spacing w:after="0"/>
              <w:rPr>
                <w:sz w:val="20"/>
                <w:szCs w:val="20"/>
                <w:color w:val="auto"/>
              </w:rPr>
            </w:pPr>
            <w:r>
              <w:rPr>
                <w:rFonts w:ascii="Arial" w:cs="Arial" w:eastAsia="Arial" w:hAnsi="Arial"/>
                <w:sz w:val="16"/>
                <w:szCs w:val="16"/>
                <w:color w:val="auto"/>
                <w:w w:val="93"/>
              </w:rPr>
              <w:t>Nancy Kramer</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Julie Szudarek</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Arial" w:cs="Arial" w:eastAsia="Arial" w:hAnsi="Arial"/>
                <w:sz w:val="16"/>
                <w:szCs w:val="16"/>
                <w:color w:val="auto"/>
                <w:w w:val="91"/>
              </w:rPr>
              <w:t>Julie Szudarek</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Scott Maw</w:t>
            </w:r>
          </w:p>
        </w:tc>
        <w:tc>
          <w:tcPr>
            <w:tcW w:w="4520" w:type="dxa"/>
            <w:vAlign w:val="bottom"/>
          </w:tcPr>
          <w:p>
            <w:pPr>
              <w:jc w:val="center"/>
              <w:ind w:right="219"/>
              <w:spacing w:after="0"/>
              <w:rPr>
                <w:sz w:val="20"/>
                <w:szCs w:val="20"/>
                <w:color w:val="auto"/>
              </w:rPr>
            </w:pPr>
            <w:r>
              <w:rPr>
                <w:rFonts w:ascii="Arial" w:cs="Arial" w:eastAsia="Arial" w:hAnsi="Arial"/>
                <w:sz w:val="16"/>
                <w:szCs w:val="16"/>
                <w:color w:val="auto"/>
                <w:w w:val="96"/>
              </w:rPr>
              <w:t>Director</w:t>
            </w:r>
          </w:p>
        </w:tc>
        <w:tc>
          <w:tcPr>
            <w:tcW w:w="2240" w:type="dxa"/>
            <w:vAlign w:val="bottom"/>
          </w:tcPr>
          <w:p>
            <w:pPr>
              <w:jc w:val="center"/>
              <w:ind w:right="199"/>
              <w:spacing w:after="0"/>
              <w:rPr>
                <w:sz w:val="20"/>
                <w:szCs w:val="20"/>
                <w:color w:val="auto"/>
              </w:rPr>
            </w:pPr>
            <w:r>
              <w:rPr>
                <w:rFonts w:ascii="Arial" w:cs="Arial" w:eastAsia="Arial" w:hAnsi="Arial"/>
                <w:sz w:val="16"/>
                <w:szCs w:val="16"/>
                <w:color w:val="auto"/>
                <w:w w:val="91"/>
              </w:rPr>
              <w:t>February 22, 2023</w:t>
            </w:r>
          </w:p>
        </w:tc>
        <w:tc>
          <w:tcPr>
            <w:tcW w:w="0" w:type="dxa"/>
            <w:vAlign w:val="bottom"/>
          </w:tcPr>
          <w:p>
            <w:pPr>
              <w:spacing w:after="0"/>
              <w:rPr>
                <w:sz w:val="1"/>
                <w:szCs w:val="1"/>
                <w:color w:val="auto"/>
              </w:rPr>
            </w:pPr>
          </w:p>
        </w:tc>
      </w:tr>
      <w:tr>
        <w:trPr>
          <w:trHeight w:val="206"/>
        </w:trPr>
        <w:tc>
          <w:tcPr>
            <w:tcW w:w="4440" w:type="dxa"/>
            <w:vAlign w:val="bottom"/>
          </w:tcPr>
          <w:p>
            <w:pPr>
              <w:jc w:val="center"/>
              <w:spacing w:after="0"/>
              <w:rPr>
                <w:sz w:val="20"/>
                <w:szCs w:val="20"/>
                <w:color w:val="auto"/>
              </w:rPr>
            </w:pPr>
            <w:r>
              <w:rPr>
                <w:rFonts w:ascii="Arial" w:cs="Arial" w:eastAsia="Arial" w:hAnsi="Arial"/>
                <w:sz w:val="16"/>
                <w:szCs w:val="16"/>
                <w:color w:val="auto"/>
                <w:w w:val="96"/>
              </w:rPr>
              <w:t>Scott Maw</w:t>
            </w:r>
          </w:p>
        </w:tc>
        <w:tc>
          <w:tcPr>
            <w:tcW w:w="4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0"/>
          <w:szCs w:val="20"/>
          <w:b w:val="1"/>
          <w:bCs w:val="1"/>
          <w:color w:val="auto"/>
        </w:rPr>
        <w:t>Exhibit 3.3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ROOT,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w:t>
      </w:r>
    </w:p>
    <w:p>
      <w:pPr>
        <w:spacing w:after="0" w:line="25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Section 1. Registered Office. </w:t>
      </w:r>
      <w:r>
        <w:rPr>
          <w:rFonts w:ascii="Arial" w:cs="Arial" w:eastAsia="Arial" w:hAnsi="Arial"/>
          <w:sz w:val="20"/>
          <w:szCs w:val="20"/>
          <w:color w:val="auto"/>
        </w:rPr>
        <w:t>The registered office of the corporation in the State of Delaware shall be as set forth in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Section 2. Other Offices. </w:t>
      </w:r>
      <w:r>
        <w:rPr>
          <w:rFonts w:ascii="Arial" w:cs="Arial" w:eastAsia="Arial" w:hAnsi="Arial"/>
          <w:sz w:val="20"/>
          <w:szCs w:val="20"/>
          <w:color w:val="auto"/>
        </w:rPr>
        <w:t>The corporation shall also have and maintain an office or principal place of business at such place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fixed by the Board of Directors, and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SEAL</w:t>
      </w:r>
    </w:p>
    <w:p>
      <w:pPr>
        <w:spacing w:after="0" w:line="270" w:lineRule="exact"/>
        <w:rPr>
          <w:sz w:val="20"/>
          <w:szCs w:val="20"/>
          <w:color w:val="auto"/>
        </w:rPr>
      </w:pPr>
    </w:p>
    <w:p>
      <w:pPr>
        <w:jc w:val="both"/>
        <w:ind w:right="160"/>
        <w:spacing w:after="0" w:line="260" w:lineRule="auto"/>
        <w:rPr>
          <w:sz w:val="20"/>
          <w:szCs w:val="20"/>
          <w:color w:val="auto"/>
        </w:rPr>
      </w:pPr>
      <w:r>
        <w:rPr>
          <w:rFonts w:ascii="Arial" w:cs="Arial" w:eastAsia="Arial" w:hAnsi="Arial"/>
          <w:sz w:val="20"/>
          <w:szCs w:val="20"/>
          <w:b w:val="1"/>
          <w:bCs w:val="1"/>
          <w:color w:val="auto"/>
        </w:rPr>
        <w:t xml:space="preserve">Section 3. Corporate Seal. </w:t>
      </w:r>
      <w:r>
        <w:rPr>
          <w:rFonts w:ascii="Arial" w:cs="Arial" w:eastAsia="Arial" w:hAnsi="Arial"/>
          <w:sz w:val="20"/>
          <w:szCs w:val="20"/>
          <w:color w:val="auto"/>
        </w:rPr>
        <w:t>The Board of Directors may adopt a corporate seal. If adopted, the corporate seal shall consist of a die bearing</w:t>
      </w:r>
      <w:r>
        <w:rPr>
          <w:rFonts w:ascii="Arial" w:cs="Arial" w:eastAsia="Arial" w:hAnsi="Arial"/>
          <w:sz w:val="20"/>
          <w:szCs w:val="20"/>
          <w:b w:val="1"/>
          <w:bCs w:val="1"/>
          <w:color w:val="auto"/>
        </w:rPr>
        <w:t xml:space="preserve"> </w:t>
      </w:r>
      <w:r>
        <w:rPr>
          <w:rFonts w:ascii="Arial" w:cs="Arial" w:eastAsia="Arial" w:hAnsi="Arial"/>
          <w:sz w:val="20"/>
          <w:szCs w:val="20"/>
          <w:color w:val="auto"/>
        </w:rPr>
        <w:t>the name of the corporation and the inscription, “Corporate Seal-Delaware.” Said seal may be used by causing it or a facsimile thereof to be impressed or affixed or reproduced or otherwise.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STOCKHOLDERS’ MEETINGS</w:t>
      </w:r>
    </w:p>
    <w:p>
      <w:pPr>
        <w:spacing w:after="0" w:line="25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Section 4. Place of Meetings. </w:t>
      </w:r>
      <w:r>
        <w:rPr>
          <w:rFonts w:ascii="Arial" w:cs="Arial" w:eastAsia="Arial" w:hAnsi="Arial"/>
          <w:sz w:val="18"/>
          <w:szCs w:val="18"/>
          <w:color w:val="auto"/>
        </w:rPr>
        <w:t>Meetings of the stockholders of the corporation may be held at such place, either within or without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as may be determined from time to time by the Board of Directors. The Board of Directors may, in its sole discretion, determine</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that the meeting shall not be held at any place, but may instead be held solely by means of remote communication as provided under the General Corporation Law of the State of Delaware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Annual Meeting.</w:t>
      </w:r>
    </w:p>
    <w:p>
      <w:pPr>
        <w:spacing w:after="0" w:line="100" w:lineRule="exact"/>
        <w:rPr>
          <w:sz w:val="20"/>
          <w:szCs w:val="20"/>
          <w:color w:val="auto"/>
        </w:rPr>
      </w:pPr>
    </w:p>
    <w:p>
      <w:pPr>
        <w:jc w:val="both"/>
        <w:ind w:firstLine="980"/>
        <w:spacing w:after="0" w:line="231" w:lineRule="auto"/>
        <w:tabs>
          <w:tab w:leader="none" w:pos="1284"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w:t>
      </w:r>
    </w:p>
    <w:p>
      <w:pPr>
        <w:sectPr>
          <w:pgSz w:w="11900" w:h="16838" w:orient="portrait"/>
          <w:cols w:equalWidth="0" w:num="1">
            <w:col w:w="11240"/>
          </w:cols>
          <w:pgMar w:left="320" w:top="1440"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of meeting of stockholders; (ii) brought specifically by or at the direction of the Board of Directors or a duly authorized committee thereof; or</w:t>
      </w:r>
    </w:p>
    <w:p>
      <w:pPr>
        <w:spacing w:after="0" w:line="12" w:lineRule="exact"/>
        <w:rPr>
          <w:sz w:val="20"/>
          <w:szCs w:val="20"/>
          <w:color w:val="auto"/>
        </w:rPr>
      </w:pPr>
    </w:p>
    <w:p>
      <w:pPr>
        <w:jc w:val="both"/>
        <w:ind w:firstLine="8"/>
        <w:spacing w:after="0" w:line="212" w:lineRule="auto"/>
        <w:tabs>
          <w:tab w:leader="none" w:pos="366" w:val="left"/>
        </w:tabs>
        <w:numPr>
          <w:ilvl w:val="0"/>
          <w:numId w:val="54"/>
        </w:numPr>
        <w:rPr>
          <w:rFonts w:ascii="Arial" w:cs="Arial" w:eastAsia="Arial" w:hAnsi="Arial"/>
          <w:sz w:val="20"/>
          <w:szCs w:val="20"/>
          <w:color w:val="auto"/>
        </w:rPr>
      </w:pPr>
      <w:r>
        <w:rPr>
          <w:rFonts w:ascii="Arial" w:cs="Arial" w:eastAsia="Arial" w:hAnsi="Arial"/>
          <w:sz w:val="20"/>
          <w:szCs w:val="20"/>
          <w:color w:val="auto"/>
        </w:rPr>
        <w:t>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(the “</w:t>
      </w:r>
      <w:r>
        <w:rPr>
          <w:rFonts w:ascii="Arial" w:cs="Arial" w:eastAsia="Arial" w:hAnsi="Arial"/>
          <w:sz w:val="20"/>
          <w:szCs w:val="20"/>
          <w:b w:val="1"/>
          <w:bCs w:val="1"/>
          <w:i w:val="1"/>
          <w:iCs w:val="1"/>
          <w:color w:val="auto"/>
        </w:rPr>
        <w:t>1934 Act</w:t>
      </w:r>
      <w:r>
        <w:rPr>
          <w:rFonts w:ascii="Arial" w:cs="Arial" w:eastAsia="Arial" w:hAnsi="Arial"/>
          <w:sz w:val="20"/>
          <w:szCs w:val="20"/>
          <w:color w:val="auto"/>
        </w:rPr>
        <w:t>”), and the rules and regulations thereunder before an annual meeting of stockholders).</w:t>
      </w:r>
    </w:p>
    <w:p>
      <w:pPr>
        <w:spacing w:after="0" w:line="182" w:lineRule="exact"/>
        <w:rPr>
          <w:rFonts w:ascii="Arial" w:cs="Arial" w:eastAsia="Arial" w:hAnsi="Arial"/>
          <w:sz w:val="20"/>
          <w:szCs w:val="20"/>
          <w:color w:val="auto"/>
        </w:rPr>
      </w:pPr>
    </w:p>
    <w:p>
      <w:pPr>
        <w:ind w:right="140" w:firstLine="980"/>
        <w:spacing w:after="0" w:line="275" w:lineRule="auto"/>
        <w:tabs>
          <w:tab w:leader="none" w:pos="129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and as shall have been properly brought before the meeting in accordance with the procedures below.</w:t>
      </w:r>
    </w:p>
    <w:p>
      <w:pPr>
        <w:jc w:val="both"/>
        <w:ind w:firstLine="1304"/>
        <w:spacing w:after="0" w:line="256" w:lineRule="auto"/>
        <w:tabs>
          <w:tab w:leader="none" w:pos="1942" w:val="left"/>
        </w:tabs>
        <w:numPr>
          <w:ilvl w:val="2"/>
          <w:numId w:val="54"/>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(4) the date or dates on which such shares were acquired and the investment intent of such acquisition; and</w:t>
      </w:r>
    </w:p>
    <w:p>
      <w:pPr>
        <w:spacing w:after="0" w:line="3" w:lineRule="exact"/>
        <w:rPr>
          <w:rFonts w:ascii="Arial" w:cs="Arial" w:eastAsia="Arial" w:hAnsi="Arial"/>
          <w:sz w:val="16"/>
          <w:szCs w:val="16"/>
          <w:b w:val="1"/>
          <w:bCs w:val="1"/>
          <w:color w:val="auto"/>
        </w:rPr>
      </w:pPr>
    </w:p>
    <w:p>
      <w:pPr>
        <w:jc w:val="both"/>
        <w:spacing w:after="0" w:line="261" w:lineRule="auto"/>
        <w:rPr>
          <w:rFonts w:ascii="Arial" w:cs="Arial" w:eastAsia="Arial" w:hAnsi="Arial"/>
          <w:sz w:val="16"/>
          <w:szCs w:val="16"/>
          <w:b w:val="1"/>
          <w:bCs w:val="1"/>
          <w:color w:val="auto"/>
        </w:rPr>
      </w:pPr>
      <w:r>
        <w:rPr>
          <w:rFonts w:ascii="Arial" w:cs="Arial" w:eastAsia="Arial" w:hAnsi="Arial"/>
          <w:sz w:val="16"/>
          <w:szCs w:val="16"/>
          <w:color w:val="auto"/>
        </w:rPr>
        <w:t xml:space="preserve">(5)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the corporation’s proxy statement, associated proxy card </w:t>
      </w:r>
      <w:r>
        <w:rPr>
          <w:rFonts w:ascii="Arial" w:cs="Arial" w:eastAsia="Arial" w:hAnsi="Arial"/>
          <w:sz w:val="16"/>
          <w:szCs w:val="16"/>
          <w:u w:val="single" w:color="auto"/>
          <w:color w:val="auto"/>
        </w:rPr>
        <w:t>and any other proxy materials</w:t>
      </w:r>
      <w:r>
        <w:rPr>
          <w:rFonts w:ascii="Arial" w:cs="Arial" w:eastAsia="Arial" w:hAnsi="Arial"/>
          <w:sz w:val="16"/>
          <w:szCs w:val="16"/>
          <w:color w:val="auto"/>
        </w:rPr>
        <w:t xml:space="preserve"> as a nominee of the stockholder and to serving as a director if elected); (B) </w:t>
      </w:r>
      <w:r>
        <w:rPr>
          <w:rFonts w:ascii="Arial" w:cs="Arial" w:eastAsia="Arial" w:hAnsi="Arial"/>
          <w:sz w:val="16"/>
          <w:szCs w:val="16"/>
          <w:u w:val="single" w:color="auto"/>
          <w:color w:val="auto"/>
        </w:rPr>
        <w:t>a representation regarding whether such stockholder intends to solicit proxies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support of director nominees other than the corporation’s nominees in accordance Rule 14a-19 under the 1934 Act, and, in the event that such stockholder so intends, such notice shall also set forth or include a statement that such stockholder intends to solicit the holders of shares representing at least 67% of the corporation’s voting shares entitled to vote on the election of directors in support of such director nominees other than the corporation’s nominees and (C)</w:t>
      </w:r>
      <w:r>
        <w:rPr>
          <w:rFonts w:ascii="Arial" w:cs="Arial" w:eastAsia="Arial" w:hAnsi="Arial"/>
          <w:sz w:val="16"/>
          <w:szCs w:val="16"/>
          <w:color w:val="auto"/>
        </w:rPr>
        <w:t xml:space="preserve"> the information required by Section 5(b)(iv). The corporation may require any proposed nominee to furnish such other information as it may reasonably require to determine the eligibility of such proposed nominee to serve (i) as an independent director (as such term is used in any applicable stock exchange listing requirements or applicable law) of the corporation or</w:t>
      </w:r>
    </w:p>
    <w:p>
      <w:pPr>
        <w:spacing w:after="0" w:line="186" w:lineRule="exact"/>
        <w:rPr>
          <w:rFonts w:ascii="Arial" w:cs="Arial" w:eastAsia="Arial" w:hAnsi="Arial"/>
          <w:sz w:val="16"/>
          <w:szCs w:val="16"/>
          <w:b w:val="1"/>
          <w:bCs w:val="1"/>
          <w:color w:val="auto"/>
        </w:rPr>
      </w:pPr>
    </w:p>
    <w:p>
      <w:pPr>
        <w:ind w:firstLine="8"/>
        <w:spacing w:after="0" w:line="250" w:lineRule="auto"/>
        <w:tabs>
          <w:tab w:leader="none" w:pos="2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any committee or sub-committee of the Board of Directors under any applicable stock exchange listing requirements or applicable law, and that could be material to a reasonable stockholder’s understanding of the independence, or lack thereof, of such proposed nominee.</w:t>
      </w:r>
    </w:p>
    <w:p>
      <w:pPr>
        <w:spacing w:after="0" w:line="160" w:lineRule="exact"/>
        <w:rPr>
          <w:rFonts w:ascii="Arial" w:cs="Arial" w:eastAsia="Arial" w:hAnsi="Arial"/>
          <w:sz w:val="18"/>
          <w:szCs w:val="18"/>
          <w:color w:val="auto"/>
        </w:rPr>
      </w:pPr>
    </w:p>
    <w:p>
      <w:pPr>
        <w:jc w:val="both"/>
        <w:ind w:firstLine="1304"/>
        <w:spacing w:after="0" w:line="221" w:lineRule="auto"/>
        <w:tabs>
          <w:tab w:leader="none" w:pos="1943" w:val="left"/>
        </w:tabs>
        <w:numPr>
          <w:ilvl w:val="2"/>
          <w:numId w:val="55"/>
        </w:numPr>
        <w:rPr>
          <w:rFonts w:ascii="Arial" w:cs="Arial" w:eastAsia="Arial" w:hAnsi="Arial"/>
          <w:sz w:val="19"/>
          <w:szCs w:val="19"/>
          <w:b w:val="1"/>
          <w:bCs w:val="1"/>
          <w:color w:val="auto"/>
        </w:rPr>
      </w:pPr>
      <w:r>
        <w:rPr>
          <w:rFonts w:ascii="Arial" w:cs="Arial" w:eastAsia="Arial" w:hAnsi="Arial"/>
          <w:sz w:val="19"/>
          <w:szCs w:val="19"/>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76" w:lineRule="exact"/>
        <w:rPr>
          <w:rFonts w:ascii="Arial" w:cs="Arial" w:eastAsia="Arial" w:hAnsi="Arial"/>
          <w:sz w:val="19"/>
          <w:szCs w:val="19"/>
          <w:b w:val="1"/>
          <w:bCs w:val="1"/>
          <w:color w:val="auto"/>
        </w:rPr>
      </w:pPr>
    </w:p>
    <w:p>
      <w:pPr>
        <w:ind w:firstLine="1304"/>
        <w:spacing w:after="0" w:line="236" w:lineRule="auto"/>
        <w:tabs>
          <w:tab w:leader="none" w:pos="1944" w:val="left"/>
        </w:tabs>
        <w:numPr>
          <w:ilvl w:val="2"/>
          <w:numId w:val="55"/>
        </w:numPr>
        <w:rPr>
          <w:rFonts w:ascii="Arial" w:cs="Arial" w:eastAsia="Arial" w:hAnsi="Arial"/>
          <w:sz w:val="20"/>
          <w:szCs w:val="20"/>
          <w:b w:val="1"/>
          <w:bCs w:val="1"/>
          <w:color w:val="auto"/>
        </w:rPr>
      </w:pPr>
      <w:r>
        <w:rPr>
          <w:rFonts w:ascii="Arial" w:cs="Arial" w:eastAsia="Arial" w:hAnsi="Arial"/>
          <w:sz w:val="20"/>
          <w:szCs w:val="20"/>
          <w:color w:val="auto"/>
        </w:rPr>
        <w:t>To be timely, the written notice required by Section 5(b)(i) or 5(b)(ii) must be received by the Secretary at the principal executive offices of the corporation not later than the close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business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first anniversary of the preceding year’s annual</w:t>
      </w:r>
    </w:p>
    <w:p>
      <w:pPr>
        <w:spacing w:after="0" w:line="251" w:lineRule="auto"/>
        <w:rPr>
          <w:sz w:val="20"/>
          <w:szCs w:val="20"/>
          <w:color w:val="auto"/>
        </w:rPr>
      </w:pPr>
      <w:r>
        <w:rPr>
          <w:rFonts w:ascii="Arial" w:cs="Arial" w:eastAsia="Arial" w:hAnsi="Arial"/>
          <w:sz w:val="16"/>
          <w:szCs w:val="16"/>
          <w:color w:val="auto"/>
        </w:rPr>
        <w:t xml:space="preserve">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5(b)(iii), in the event that the date of the annual meeting is advanced more than 30 days prior to or delayed by more than 30 days after the anniversary of the preceding year’s annual meeting, notice by</w:t>
      </w:r>
    </w:p>
    <w:p>
      <w:pPr>
        <w:spacing w:after="0" w:line="184" w:lineRule="auto"/>
        <w:rPr>
          <w:sz w:val="20"/>
          <w:szCs w:val="20"/>
          <w:color w:val="auto"/>
        </w:rPr>
      </w:pPr>
      <w:r>
        <w:rPr>
          <w:rFonts w:ascii="Arial" w:cs="Arial" w:eastAsia="Arial" w:hAnsi="Arial"/>
          <w:sz w:val="18"/>
          <w:szCs w:val="18"/>
          <w:color w:val="auto"/>
        </w:rPr>
        <w:t>the stockholder to be timely must be so received (A) not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annual meeting and</w:t>
      </w:r>
    </w:p>
    <w:p>
      <w:pPr>
        <w:spacing w:after="0" w:line="1" w:lineRule="exact"/>
        <w:rPr>
          <w:sz w:val="20"/>
          <w:szCs w:val="20"/>
          <w:color w:val="auto"/>
        </w:rPr>
      </w:pPr>
    </w:p>
    <w:p>
      <w:pPr>
        <w:jc w:val="both"/>
        <w:ind w:firstLine="8"/>
        <w:spacing w:after="0" w:line="193" w:lineRule="auto"/>
        <w:tabs>
          <w:tab w:leader="none" w:pos="331"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not later than the close of business on the later of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such annual meeting or, if later than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prior to such annual meeting,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day on which public announcement of the date of such meeting is first made. In no event shall an adjournment of an annual meeting for which notice has been given, or the public announcement thereof has been made, commence a new time period for the giving of a stockholder’s notice as described above.</w:t>
      </w:r>
    </w:p>
    <w:p>
      <w:pPr>
        <w:spacing w:after="0" w:line="156" w:lineRule="exact"/>
        <w:rPr>
          <w:rFonts w:ascii="Arial" w:cs="Arial" w:eastAsia="Arial" w:hAnsi="Arial"/>
          <w:sz w:val="20"/>
          <w:szCs w:val="20"/>
          <w:color w:val="auto"/>
        </w:rPr>
      </w:pPr>
    </w:p>
    <w:p>
      <w:pPr>
        <w:jc w:val="both"/>
        <w:ind w:firstLine="1304"/>
        <w:spacing w:after="0" w:line="233" w:lineRule="auto"/>
        <w:tabs>
          <w:tab w:leader="none" w:pos="1933"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The written notice required by Section 5(b)(i) or 5(b)(ii) shall also set forth, as of the date of the notice and as to the stockholder giving the notice and the beneficial owner, if any, on whose behalf the nomination or proposal is made (each, a “</w:t>
      </w:r>
      <w:r>
        <w:rPr>
          <w:rFonts w:ascii="Arial" w:cs="Arial" w:eastAsia="Arial" w:hAnsi="Arial"/>
          <w:sz w:val="18"/>
          <w:szCs w:val="18"/>
          <w:b w:val="1"/>
          <w:bCs w:val="1"/>
          <w:i w:val="1"/>
          <w:iCs w:val="1"/>
          <w:color w:val="auto"/>
        </w:rPr>
        <w:t>Proponent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Proponents</w:t>
      </w:r>
      <w:r>
        <w:rPr>
          <w:rFonts w:ascii="Arial" w:cs="Arial" w:eastAsia="Arial" w:hAnsi="Arial"/>
          <w:sz w:val="18"/>
          <w:szCs w:val="18"/>
          <w:color w:val="auto"/>
        </w:rPr>
        <w:t xml:space="preserve">”): (A) the name and address of each Proponent, as they appear on the corporation’s books; (B) the class or series and number of shares of each class of capital stock of the corporation that are owned of record and beneficially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w:t>
      </w:r>
      <w:r>
        <w:rPr>
          <w:rFonts w:ascii="Arial" w:cs="Arial" w:eastAsia="Arial" w:hAnsi="Arial"/>
          <w:sz w:val="18"/>
          <w:szCs w:val="18"/>
          <w:u w:val="single" w:color="auto"/>
          <w:color w:val="auto"/>
        </w:rPr>
        <w:t>at least 67%</w:t>
      </w:r>
      <w:r>
        <w:rPr>
          <w:rFonts w:ascii="Arial" w:cs="Arial" w:eastAsia="Arial" w:hAnsi="Arial"/>
          <w:sz w:val="18"/>
          <w:szCs w:val="18"/>
          <w:color w:val="auto"/>
        </w:rPr>
        <w:t xml:space="preserve">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and (G) a description of all Derivative Transactions (as defined below) by each Proponent during the previous 12-month period, including the date of the transactions and the class, series and number of securities involved in, and the material economic terms of, such Derivative Transactions.</w:t>
      </w:r>
    </w:p>
    <w:p>
      <w:pPr>
        <w:spacing w:after="0" w:line="173" w:lineRule="exact"/>
        <w:rPr>
          <w:rFonts w:ascii="Arial" w:cs="Arial" w:eastAsia="Arial" w:hAnsi="Arial"/>
          <w:sz w:val="18"/>
          <w:szCs w:val="18"/>
          <w:b w:val="1"/>
          <w:bCs w:val="1"/>
          <w:color w:val="auto"/>
        </w:rPr>
      </w:pPr>
    </w:p>
    <w:p>
      <w:pPr>
        <w:jc w:val="both"/>
        <w:ind w:firstLine="980"/>
        <w:spacing w:after="0" w:line="212" w:lineRule="auto"/>
        <w:tabs>
          <w:tab w:leader="none" w:pos="1286" w:val="left"/>
        </w:tabs>
        <w:numPr>
          <w:ilvl w:val="1"/>
          <w:numId w:val="56"/>
        </w:numPr>
        <w:rPr>
          <w:rFonts w:ascii="Arial" w:cs="Arial" w:eastAsia="Arial" w:hAnsi="Arial"/>
          <w:sz w:val="20"/>
          <w:szCs w:val="20"/>
          <w:b w:val="1"/>
          <w:bCs w:val="1"/>
          <w:color w:val="auto"/>
        </w:rPr>
      </w:pPr>
      <w:r>
        <w:rPr>
          <w:rFonts w:ascii="Arial" w:cs="Arial" w:eastAsia="Arial" w:hAnsi="Arial"/>
          <w:sz w:val="20"/>
          <w:szCs w:val="20"/>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meeting and (ii) the date that is five Business Days (as defined below) prior to the meeting and, in the event of any adjournment thereof, five Business Days prior to such adjourned meeting. In the case of an update and supplement pursuant to clause (i) of this Section 5(c), such update and supplement shall be received by the Secretary at the principal executive offices of the corporation not later than five Business Days after the record date for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thereof, two Business Days prior to such adjourned meeting.</w:t>
      </w:r>
    </w:p>
    <w:p>
      <w:pPr>
        <w:spacing w:after="0" w:line="169" w:lineRule="exact"/>
        <w:rPr>
          <w:rFonts w:ascii="Arial" w:cs="Arial" w:eastAsia="Arial" w:hAnsi="Arial"/>
          <w:sz w:val="20"/>
          <w:szCs w:val="20"/>
          <w:b w:val="1"/>
          <w:bCs w:val="1"/>
          <w:color w:val="auto"/>
        </w:rPr>
      </w:pPr>
    </w:p>
    <w:p>
      <w:pPr>
        <w:jc w:val="both"/>
        <w:ind w:firstLine="980"/>
        <w:spacing w:after="0" w:line="235" w:lineRule="auto"/>
        <w:tabs>
          <w:tab w:leader="none" w:pos="1295"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 xml:space="preserve">A person shall not be eligible for election or re-election as a director unless the person is nominated either in accordance with clause (ii) or clause (iii) of Section 5(a). </w:t>
      </w:r>
      <w:r>
        <w:rPr>
          <w:rFonts w:ascii="Arial" w:cs="Arial" w:eastAsia="Arial" w:hAnsi="Arial"/>
          <w:sz w:val="18"/>
          <w:szCs w:val="18"/>
          <w:u w:val="single" w:color="auto"/>
          <w:color w:val="auto"/>
        </w:rPr>
        <w:t>Without limiting the other provisions and requirements of this Section 5, except as otherwise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required by law, if any stockholder (i) provides notice pursuant to Rule 14a-19(b) under the 1934 Act and (ii) subsequently fails to comply with the requirements of Rule 14a-19(a)(2) and Rule 14a-19(a)(3) under 1934 Act, then the Chairperson of the meeting shall have the power to declare that such stockholder’s nominees shall not be presented for election at the meeting and shall be disregarded, notwithstanding that proxies in respect of such nominations may have been solicited or received. Upon request by the corporation, if any stockholder provides notice pursuant to Rule 14a-19(b) under the 1934 Act, such stockholder shall deliver to the corporation, no later than five Business Days prior to the applicable annual meeting, reasonable evidence that it has met the requirements of Rule 14a-19(a)(3) under the 1934 Act.</w:t>
      </w:r>
      <w:r>
        <w:rPr>
          <w:rFonts w:ascii="Arial" w:cs="Arial" w:eastAsia="Arial" w:hAnsi="Arial"/>
          <w:sz w:val="18"/>
          <w:szCs w:val="18"/>
          <w:color w:val="auto"/>
        </w:rPr>
        <w:t xml:space="preserve"> Except as otherwise required by law, the Chairperson of the meeting shall have the power and duty to determine whether a nomination or any business proposed to be brought before the meeting was made, or proposed, as the case may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59" w:right="339" w:bottom="1440" w:gutter="0" w:footer="0" w:header="0"/>
        </w:sectPr>
      </w:pPr>
    </w:p>
    <w:bookmarkStart w:id="160" w:name="page161"/>
    <w:bookmarkEnd w:id="160"/>
    <w:p>
      <w:pPr>
        <w:spacing w:after="0"/>
        <w:rPr>
          <w:sz w:val="20"/>
          <w:szCs w:val="20"/>
          <w:color w:val="auto"/>
        </w:rPr>
      </w:pPr>
      <w:r>
        <w:rPr>
          <w:rFonts w:ascii="Arial" w:cs="Arial" w:eastAsia="Arial" w:hAnsi="Arial"/>
          <w:sz w:val="19"/>
          <w:szCs w:val="19"/>
          <w:color w:val="auto"/>
        </w:rPr>
        <w:t>accordance with the procedures set forth in these Bylaws and, if any proposed nomination or business is not in compliance with these</w:t>
      </w:r>
    </w:p>
    <w:p>
      <w:pPr>
        <w:spacing w:after="0" w:line="226" w:lineRule="auto"/>
        <w:rPr>
          <w:sz w:val="20"/>
          <w:szCs w:val="20"/>
          <w:color w:val="auto"/>
        </w:rPr>
      </w:pPr>
      <w:r>
        <w:rPr>
          <w:rFonts w:ascii="Arial" w:cs="Arial" w:eastAsia="Arial" w:hAnsi="Arial"/>
          <w:sz w:val="18"/>
          <w:szCs w:val="18"/>
          <w:color w:val="auto"/>
        </w:rPr>
        <w:t>Bylaws, or the Proponent does not act in accordance with the representations in Sections 5(b)(iv)(D) and 5(b)(iv)(E), to declare that such proposal or nomination shall not be presented for stockholder action at the meeting and shall be disregarded, notwithstanding that proxies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respect of such nomination or such business may have been solicited or received.</w:t>
      </w:r>
    </w:p>
    <w:p>
      <w:pPr>
        <w:spacing w:after="0" w:line="173" w:lineRule="exact"/>
        <w:rPr>
          <w:sz w:val="20"/>
          <w:szCs w:val="20"/>
          <w:color w:val="auto"/>
        </w:rPr>
      </w:pPr>
    </w:p>
    <w:p>
      <w:pPr>
        <w:jc w:val="both"/>
        <w:ind w:firstLine="980"/>
        <w:spacing w:after="0" w:line="226" w:lineRule="auto"/>
        <w:tabs>
          <w:tab w:leader="none" w:pos="1286"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any references in these Bylaws to the 1934 Act or the rules and regulations thereunder are not intended to and shall not limit the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applicable to proposals and/or nominations to be considered pursuant to Section 5(a).</w:t>
      </w:r>
    </w:p>
    <w:p>
      <w:pPr>
        <w:spacing w:after="0" w:line="183" w:lineRule="exact"/>
        <w:rPr>
          <w:rFonts w:ascii="Arial" w:cs="Arial" w:eastAsia="Arial" w:hAnsi="Arial"/>
          <w:sz w:val="19"/>
          <w:szCs w:val="19"/>
          <w:b w:val="1"/>
          <w:bCs w:val="1"/>
          <w:color w:val="auto"/>
        </w:rPr>
      </w:pPr>
    </w:p>
    <w:p>
      <w:pPr>
        <w:ind w:right="40" w:firstLine="980"/>
        <w:spacing w:after="0" w:line="260" w:lineRule="auto"/>
        <w:tabs>
          <w:tab w:leader="none" w:pos="1291"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6" w:lineRule="exact"/>
        <w:rPr>
          <w:rFonts w:ascii="Arial" w:cs="Arial" w:eastAsia="Arial" w:hAnsi="Arial"/>
          <w:sz w:val="19"/>
          <w:szCs w:val="19"/>
          <w:b w:val="1"/>
          <w:bCs w:val="1"/>
          <w:color w:val="auto"/>
        </w:rPr>
      </w:pPr>
    </w:p>
    <w:p>
      <w:pPr>
        <w:ind w:left="1300" w:hanging="320"/>
        <w:spacing w:after="0"/>
        <w:tabs>
          <w:tab w:leader="none" w:pos="1300"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For purposes of Sections 5 and 6,</w:t>
      </w:r>
    </w:p>
    <w:p>
      <w:pPr>
        <w:spacing w:after="0" w:line="159" w:lineRule="exact"/>
        <w:rPr>
          <w:rFonts w:ascii="Arial" w:cs="Arial" w:eastAsia="Arial" w:hAnsi="Arial"/>
          <w:sz w:val="20"/>
          <w:szCs w:val="20"/>
          <w:b w:val="1"/>
          <w:bCs w:val="1"/>
          <w:color w:val="auto"/>
        </w:rPr>
      </w:pPr>
    </w:p>
    <w:p>
      <w:pPr>
        <w:ind w:firstLine="1304"/>
        <w:spacing w:after="0" w:line="236" w:lineRule="auto"/>
        <w:tabs>
          <w:tab w:leader="none" w:pos="2005" w:val="left"/>
        </w:tabs>
        <w:numPr>
          <w:ilvl w:val="1"/>
          <w:numId w:val="5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associates</w:t>
      </w:r>
      <w:r>
        <w:rPr>
          <w:rFonts w:ascii="Arial" w:cs="Arial" w:eastAsia="Arial" w:hAnsi="Arial"/>
          <w:sz w:val="20"/>
          <w:szCs w:val="20"/>
          <w:color w:val="auto"/>
        </w:rPr>
        <w:t>” shall have the meanings set forth in Rule 405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w:t>
      </w:r>
    </w:p>
    <w:p>
      <w:pPr>
        <w:spacing w:after="0" w:line="166" w:lineRule="exact"/>
        <w:rPr>
          <w:rFonts w:ascii="Arial" w:cs="Arial" w:eastAsia="Arial" w:hAnsi="Arial"/>
          <w:sz w:val="20"/>
          <w:szCs w:val="20"/>
          <w:b w:val="1"/>
          <w:bCs w:val="1"/>
          <w:color w:val="auto"/>
        </w:rPr>
      </w:pPr>
    </w:p>
    <w:p>
      <w:pPr>
        <w:ind w:left="1960" w:hanging="656"/>
        <w:spacing w:after="0"/>
        <w:tabs>
          <w:tab w:leader="none" w:pos="1960"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 day on which banks are closed in New York City,</w:t>
      </w:r>
    </w:p>
    <w:p>
      <w:pPr>
        <w:spacing w:after="0"/>
        <w:rPr>
          <w:rFonts w:ascii="Arial" w:cs="Arial" w:eastAsia="Arial" w:hAnsi="Arial"/>
          <w:sz w:val="18"/>
          <w:szCs w:val="18"/>
          <w:b w:val="1"/>
          <w:bCs w:val="1"/>
          <w:color w:val="auto"/>
        </w:rPr>
      </w:pPr>
      <w:r>
        <w:rPr>
          <w:rFonts w:ascii="Arial" w:cs="Arial" w:eastAsia="Arial" w:hAnsi="Arial"/>
          <w:sz w:val="20"/>
          <w:szCs w:val="20"/>
          <w:color w:val="auto"/>
        </w:rPr>
        <w:t>New York.</w:t>
      </w:r>
    </w:p>
    <w:p>
      <w:pPr>
        <w:spacing w:after="0" w:line="172" w:lineRule="exact"/>
        <w:rPr>
          <w:rFonts w:ascii="Arial" w:cs="Arial" w:eastAsia="Arial" w:hAnsi="Arial"/>
          <w:sz w:val="18"/>
          <w:szCs w:val="18"/>
          <w:b w:val="1"/>
          <w:bCs w:val="1"/>
          <w:color w:val="auto"/>
        </w:rPr>
      </w:pPr>
    </w:p>
    <w:p>
      <w:pPr>
        <w:jc w:val="both"/>
        <w:ind w:firstLine="1304"/>
        <w:spacing w:after="0" w:line="235" w:lineRule="auto"/>
        <w:tabs>
          <w:tab w:leader="none" w:pos="1944"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of security value or price changes; or (D) that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60" w:lineRule="exact"/>
        <w:rPr>
          <w:rFonts w:ascii="Arial" w:cs="Arial" w:eastAsia="Arial" w:hAnsi="Arial"/>
          <w:sz w:val="18"/>
          <w:szCs w:val="18"/>
          <w:b w:val="1"/>
          <w:bCs w:val="1"/>
          <w:color w:val="auto"/>
        </w:rPr>
      </w:pPr>
    </w:p>
    <w:p>
      <w:pPr>
        <w:jc w:val="both"/>
        <w:ind w:firstLine="1304"/>
        <w:spacing w:after="0" w:line="246" w:lineRule="auto"/>
        <w:tabs>
          <w:tab w:leader="none" w:pos="1933"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xml:space="preserve">” shall mean disclosure in a press release reported by the Dow Jones Newswires, Associated Press or comparable national news service or in a document publicly filed by the corporation with the Securities and Exchange Commission </w:t>
      </w:r>
      <w:r>
        <w:rPr>
          <w:rFonts w:ascii="Arial" w:cs="Arial" w:eastAsia="Arial" w:hAnsi="Arial"/>
          <w:sz w:val="18"/>
          <w:szCs w:val="18"/>
          <w:u w:val="single" w:color="auto"/>
          <w:color w:val="auto"/>
        </w:rPr>
        <w:t>(the “</w:t>
      </w:r>
      <w:r>
        <w:rPr>
          <w:rFonts w:ascii="Arial" w:cs="Arial" w:eastAsia="Arial" w:hAnsi="Arial"/>
          <w:sz w:val="18"/>
          <w:szCs w:val="18"/>
          <w:b w:val="1"/>
          <w:bCs w:val="1"/>
          <w:i w:val="1"/>
          <w:iCs w:val="1"/>
          <w:u w:val="single" w:color="auto"/>
          <w:color w:val="auto"/>
        </w:rPr>
        <w:t>SEC</w:t>
      </w:r>
      <w:r>
        <w:rPr>
          <w:rFonts w:ascii="Arial" w:cs="Arial" w:eastAsia="Arial" w:hAnsi="Arial"/>
          <w:sz w:val="18"/>
          <w:szCs w:val="18"/>
          <w:u w:val="single" w:color="auto"/>
          <w:color w:val="auto"/>
        </w:rPr>
        <w:t>”)</w:t>
      </w:r>
      <w:r>
        <w:rPr>
          <w:rFonts w:ascii="Arial" w:cs="Arial" w:eastAsia="Arial" w:hAnsi="Arial"/>
          <w:sz w:val="18"/>
          <w:szCs w:val="18"/>
          <w:color w:val="auto"/>
        </w:rPr>
        <w:t xml:space="preserve">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b w:val="1"/>
          <w:bCs w:val="1"/>
          <w:color w:val="auto"/>
        </w:rPr>
        <w:t>Section 6.  Special Meetings.</w:t>
      </w:r>
    </w:p>
    <w:p>
      <w:pPr>
        <w:spacing w:after="0" w:line="195" w:lineRule="exact"/>
        <w:rPr>
          <w:sz w:val="20"/>
          <w:szCs w:val="20"/>
          <w:color w:val="auto"/>
        </w:rPr>
      </w:pPr>
    </w:p>
    <w:p>
      <w:pPr>
        <w:jc w:val="both"/>
        <w:ind w:firstLine="980"/>
        <w:spacing w:after="0" w:line="223" w:lineRule="auto"/>
        <w:tabs>
          <w:tab w:leader="none" w:pos="1284"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w:t>
      </w:r>
    </w:p>
    <w:p>
      <w:pPr>
        <w:spacing w:after="0" w:line="168" w:lineRule="exact"/>
        <w:rPr>
          <w:rFonts w:ascii="Arial" w:cs="Arial" w:eastAsia="Arial" w:hAnsi="Arial"/>
          <w:sz w:val="20"/>
          <w:szCs w:val="20"/>
          <w:b w:val="1"/>
          <w:bCs w:val="1"/>
          <w:color w:val="auto"/>
        </w:rPr>
      </w:pPr>
    </w:p>
    <w:p>
      <w:pPr>
        <w:jc w:val="both"/>
        <w:ind w:firstLine="980"/>
        <w:spacing w:after="0" w:line="227" w:lineRule="auto"/>
        <w:tabs>
          <w:tab w:leader="none" w:pos="1295"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For a special meeting called pursuant to Section 6(a), the person(s) calling the meeting shall determine the time and place, if any, of the meeting; provided, however, that only the Board of Directors or a duly authorized committee thereof may authorize a meeting solely by means of remote communication. Upon determination of the time and place, if any, of the meeting, the Secretary shall cause a notice of meeting to be given to the stockholders entitled to vote, in accordance with the provisions of Section 7. No business may be transacted at a special meeting otherwise than as specified in the notice of meeting.</w:t>
      </w:r>
    </w:p>
    <w:p>
      <w:pPr>
        <w:spacing w:after="0" w:line="168" w:lineRule="exact"/>
        <w:rPr>
          <w:rFonts w:ascii="Arial" w:cs="Arial" w:eastAsia="Arial" w:hAnsi="Arial"/>
          <w:sz w:val="19"/>
          <w:szCs w:val="19"/>
          <w:b w:val="1"/>
          <w:bCs w:val="1"/>
          <w:color w:val="auto"/>
        </w:rPr>
      </w:pPr>
    </w:p>
    <w:p>
      <w:pPr>
        <w:jc w:val="both"/>
        <w:ind w:firstLine="980"/>
        <w:spacing w:after="0" w:line="213" w:lineRule="auto"/>
        <w:tabs>
          <w:tab w:leader="none" w:pos="1286"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who is entitled to vote at the meeting and who delivers written notice to the Secretary of the corporation setting forth the information required by Section 5(b)(i) and the information required by Section 5(b)(iv).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and the information required by Section 5(b)(iv) shall be received by the Secretary at the principal executive offices of the corporation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prior to such meeting or the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day on which the corporation first makes a public announcement of the date of the special meeting at which directors are to be elected. The stockholder shall also update and supplement such information as required under Section 5(c). In no event shall an adjournment of a special meeting for which notice has been given, or the public announcement thereof has been made, commence a new time period for the giving of a stockholder’s notice as described above.</w:t>
      </w:r>
    </w:p>
    <w:p>
      <w:pPr>
        <w:spacing w:after="0" w:line="171" w:lineRule="exact"/>
        <w:rPr>
          <w:rFonts w:ascii="Arial" w:cs="Arial" w:eastAsia="Arial" w:hAnsi="Arial"/>
          <w:sz w:val="19"/>
          <w:szCs w:val="19"/>
          <w:b w:val="1"/>
          <w:bCs w:val="1"/>
          <w:color w:val="auto"/>
        </w:rPr>
      </w:pPr>
    </w:p>
    <w:p>
      <w:pPr>
        <w:ind w:firstLine="980"/>
        <w:spacing w:after="0" w:line="290" w:lineRule="auto"/>
        <w:tabs>
          <w:tab w:leader="none" w:pos="129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 person shall not be eligible for election or re-election as a director unless the person is nominated either in accordance with clause (ii) or clause (iii) of Section 5(a). Except as otherwise required by law, the Chairperson of the meeting shall have the power and duty to determine whether a nomination was made in accordance with the procedures set forth in these Bylaws and, if any nomination or business is not in compliance with these Bylaws, to declare that such nomination shall not be presented for stockholder action at the meeting and shall be disregarded, notwithstanding that proxies in respect of such nomination may have been solicited or received.</w:t>
      </w:r>
    </w:p>
    <w:p>
      <w:pPr>
        <w:spacing w:after="0" w:line="153" w:lineRule="exact"/>
        <w:rPr>
          <w:rFonts w:ascii="Arial" w:cs="Arial" w:eastAsia="Arial" w:hAnsi="Arial"/>
          <w:sz w:val="18"/>
          <w:szCs w:val="18"/>
          <w:b w:val="1"/>
          <w:bCs w:val="1"/>
          <w:color w:val="auto"/>
        </w:rPr>
      </w:pPr>
    </w:p>
    <w:p>
      <w:pPr>
        <w:ind w:right="100" w:firstLine="980"/>
        <w:spacing w:after="0" w:line="267" w:lineRule="auto"/>
        <w:tabs>
          <w:tab w:leader="none" w:pos="1286"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nominations for the election to the Board of Directors or proposals of other businesses to be considered pursuant to Section 6(c).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Notice of Meetings. </w:t>
      </w:r>
      <w:r>
        <w:rPr>
          <w:rFonts w:ascii="Arial" w:cs="Arial" w:eastAsia="Arial" w:hAnsi="Arial"/>
          <w:sz w:val="18"/>
          <w:szCs w:val="18"/>
          <w:color w:val="auto"/>
        </w:rPr>
        <w:t>Except as otherwise provided by law, notice, given in writing or by electronic transmission, of each meeting</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of stockholders shall be given not fewer than 10 nor more than 60 days before the date of the meeting to each stockholder entitled to vote at such meeting, such notice to specify the place, if any, date and hour, in the case of special meetings, the purpose or purposes of the meeting,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the means of remote communications, if any, by which stockholders and proxy holders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99" w:right="33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be deemed to be present in person and vote at any such meeting. If mailed, notice is given when deposited in the United States mail, postage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prepaid, directed to the stockholder at such stockholder’s address as it appears on the records of the corporation. If sent via electronic transmission, notice is given when directed to such stockholder’s electronic mail address. Notice of the time, place, if any, and purpose of any</w:t>
      </w:r>
    </w:p>
    <w:p>
      <w:pPr>
        <w:spacing w:after="0" w:line="235" w:lineRule="auto"/>
        <w:rPr>
          <w:sz w:val="20"/>
          <w:szCs w:val="20"/>
          <w:color w:val="auto"/>
        </w:rPr>
      </w:pPr>
      <w:r>
        <w:rPr>
          <w:rFonts w:ascii="Arial" w:cs="Arial" w:eastAsia="Arial" w:hAnsi="Arial"/>
          <w:sz w:val="18"/>
          <w:szCs w:val="18"/>
          <w:color w:val="auto"/>
        </w:rPr>
        <w:t>meeting of stockholders (to the extent required) may be waived in writing, signed by the person entitled to notice thereof or by electronic</w:t>
      </w:r>
    </w:p>
    <w:p>
      <w:pPr>
        <w:spacing w:after="0" w:line="226" w:lineRule="auto"/>
        <w:rPr>
          <w:sz w:val="20"/>
          <w:szCs w:val="20"/>
          <w:color w:val="auto"/>
        </w:rPr>
      </w:pPr>
      <w:r>
        <w:rPr>
          <w:rFonts w:ascii="Arial" w:cs="Arial" w:eastAsia="Arial" w:hAnsi="Arial"/>
          <w:sz w:val="18"/>
          <w:szCs w:val="18"/>
          <w:color w:val="auto"/>
        </w:rPr>
        <w:t>transmission by such person, either before or after such meeting, and will be waived by any stockholder by his or her attendance thereat in person, by remote communication, if applicable, or by proxy, except when the stockholder attends a meeting for the express purpose of</w:t>
      </w:r>
    </w:p>
    <w:p>
      <w:pPr>
        <w:spacing w:after="0" w:line="236" w:lineRule="auto"/>
        <w:rPr>
          <w:sz w:val="20"/>
          <w:szCs w:val="20"/>
          <w:color w:val="auto"/>
        </w:rPr>
      </w:pPr>
      <w:r>
        <w:rPr>
          <w:rFonts w:ascii="Arial" w:cs="Arial" w:eastAsia="Arial" w:hAnsi="Arial"/>
          <w:sz w:val="18"/>
          <w:szCs w:val="18"/>
          <w:color w:val="auto"/>
        </w:rPr>
        <w:t>objecting, at the beginning of the meeting, to the transaction of any business because the meeting is not lawfully called or convened.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stockholder so waiving notice of such meeting shall be bound by the proceedings of any such meeting in all respects as if due notice thereof had been given.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Quorum. </w:t>
      </w:r>
      <w:r>
        <w:rPr>
          <w:rFonts w:ascii="Arial" w:cs="Arial" w:eastAsia="Arial" w:hAnsi="Arial"/>
          <w:sz w:val="18"/>
          <w:szCs w:val="18"/>
          <w:color w:val="auto"/>
        </w:rPr>
        <w:t>At all meetings of stockholders, except where otherwise provided by statute or by the Certificate of Incorporation, or</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by these Bylaws, the presence, in person, by remote communication, if applicable, or by proxy duly authorized, of the holders of a majority of the voting power of the outstanding shares of stock entitled to vote at the meeting shall constitute a quorum for the transaction of business.</w:t>
      </w:r>
    </w:p>
    <w:p>
      <w:pPr>
        <w:spacing w:after="0" w:line="236" w:lineRule="auto"/>
        <w:rPr>
          <w:sz w:val="20"/>
          <w:szCs w:val="20"/>
          <w:color w:val="auto"/>
        </w:rPr>
      </w:pPr>
      <w:r>
        <w:rPr>
          <w:rFonts w:ascii="Arial" w:cs="Arial" w:eastAsia="Arial" w:hAnsi="Arial"/>
          <w:sz w:val="18"/>
          <w:szCs w:val="18"/>
          <w:color w:val="auto"/>
        </w:rPr>
        <w:t>In the absence of a quorum, any meeting of stockholders may be adjourned, from time to time, either by the Chairperson of the meeting or by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transact business until adjournment, notwithstanding the withdrawal of enough stockholders to leave less than a quorum. Except as otherwise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provided by statute or by applicable stock exchange rules, or by the Certificate of Incorporation or these Bylaws </w:t>
      </w:r>
      <w:r>
        <w:rPr>
          <w:rFonts w:ascii="Arial" w:cs="Arial" w:eastAsia="Arial" w:hAnsi="Arial"/>
          <w:sz w:val="18"/>
          <w:szCs w:val="18"/>
          <w:u w:val="single" w:color="auto"/>
          <w:color w:val="auto"/>
        </w:rPr>
        <w:t>(including Section 16)</w:t>
      </w:r>
      <w:r>
        <w:rPr>
          <w:rFonts w:ascii="Arial" w:cs="Arial" w:eastAsia="Arial" w:hAnsi="Arial"/>
          <w:sz w:val="18"/>
          <w:szCs w:val="18"/>
          <w:color w:val="auto"/>
        </w:rPr>
        <w:t>, in all matters other than the election of directors, the affirmative vote of the holders of a majority of the voting power of the shares present in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person, by remote communication, if applicable, or represented by proxy duly authorized at the meeting and entitled to vote generally on the subject matter shall be the act of the stockholders. Except as otherwise provided by statute, the Certificate of Incorporation or these Bylaws</w:t>
      </w:r>
    </w:p>
    <w:p>
      <w:pPr>
        <w:spacing w:after="0" w:line="236" w:lineRule="auto"/>
        <w:rPr>
          <w:sz w:val="20"/>
          <w:szCs w:val="20"/>
          <w:color w:val="auto"/>
        </w:rPr>
      </w:pPr>
      <w:r>
        <w:rPr>
          <w:rFonts w:ascii="Arial" w:cs="Arial" w:eastAsia="Arial" w:hAnsi="Arial"/>
          <w:sz w:val="18"/>
          <w:szCs w:val="18"/>
          <w:u w:val="single" w:color="auto"/>
          <w:color w:val="auto"/>
        </w:rPr>
        <w:t>(including Section 16)</w:t>
      </w:r>
      <w:r>
        <w:rPr>
          <w:rFonts w:ascii="Arial" w:cs="Arial" w:eastAsia="Arial" w:hAnsi="Arial"/>
          <w:sz w:val="18"/>
          <w:szCs w:val="18"/>
          <w:color w:val="auto"/>
        </w:rPr>
        <w:t>, directors shall be elected by a plurality of the votes of the shares present in person, by remote communication, if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applicable, or represented by proxy duly authorized at the meeting and entitled to vote generally on the election of directors. Where a separate vote by a class or classes or series is required, except where otherwise provided by statute, by applicable stock exchange rules or by</w:t>
      </w:r>
    </w:p>
    <w:p>
      <w:pPr>
        <w:spacing w:after="0" w:line="235" w:lineRule="auto"/>
        <w:rPr>
          <w:sz w:val="20"/>
          <w:szCs w:val="20"/>
          <w:color w:val="auto"/>
        </w:rPr>
      </w:pPr>
      <w:r>
        <w:rPr>
          <w:rFonts w:ascii="Arial" w:cs="Arial" w:eastAsia="Arial" w:hAnsi="Arial"/>
          <w:sz w:val="18"/>
          <w:szCs w:val="18"/>
          <w:color w:val="auto"/>
        </w:rPr>
        <w:t>the Certificate of Incorporation or these Bylaws, a majority of the voting power of the outstanding shares of such class or classes or series,</w:t>
      </w:r>
    </w:p>
    <w:p>
      <w:pPr>
        <w:spacing w:after="0" w:line="226" w:lineRule="auto"/>
        <w:rPr>
          <w:sz w:val="20"/>
          <w:szCs w:val="20"/>
          <w:color w:val="auto"/>
        </w:rPr>
      </w:pPr>
      <w:r>
        <w:rPr>
          <w:rFonts w:ascii="Arial" w:cs="Arial" w:eastAsia="Arial" w:hAnsi="Arial"/>
          <w:sz w:val="18"/>
          <w:szCs w:val="18"/>
          <w:color w:val="auto"/>
        </w:rPr>
        <w:t>present in person, by remote communication, if applicable, or represented by proxy duly authorized, shall constitute a quorum entitled to take action with respect to that vote on that matter. Except where otherwise provided by statute, by applicable stock exchange rules or by the</w:t>
      </w:r>
    </w:p>
    <w:p>
      <w:pPr>
        <w:spacing w:after="0" w:line="224" w:lineRule="auto"/>
        <w:rPr>
          <w:sz w:val="20"/>
          <w:szCs w:val="20"/>
          <w:color w:val="auto"/>
        </w:rPr>
      </w:pPr>
      <w:r>
        <w:rPr>
          <w:rFonts w:ascii="Arial" w:cs="Arial" w:eastAsia="Arial" w:hAnsi="Arial"/>
          <w:sz w:val="19"/>
          <w:szCs w:val="19"/>
          <w:color w:val="auto"/>
        </w:rPr>
        <w:t>Certificate of Incorporation or these Bylaws, the affirmative vote of the holders of a majority (plurality, in the case of the election of</w:t>
      </w:r>
    </w:p>
    <w:p>
      <w:pPr>
        <w:spacing w:after="0" w:line="220" w:lineRule="auto"/>
        <w:rPr>
          <w:sz w:val="20"/>
          <w:szCs w:val="20"/>
          <w:color w:val="auto"/>
        </w:rPr>
      </w:pPr>
      <w:r>
        <w:rPr>
          <w:rFonts w:ascii="Arial" w:cs="Arial" w:eastAsia="Arial" w:hAnsi="Arial"/>
          <w:sz w:val="20"/>
          <w:szCs w:val="20"/>
          <w:color w:val="auto"/>
        </w:rPr>
        <w:t>directors) of voting power of such class or classes or series present in person, by remote communication, if applicable, or represented by proxy at the meeting shall be the act of such class or classes or series.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9.  Adjournment and Notice of Adjourned Meetings. </w:t>
      </w:r>
      <w:r>
        <w:rPr>
          <w:rFonts w:ascii="Arial" w:cs="Arial" w:eastAsia="Arial" w:hAnsi="Arial"/>
          <w:sz w:val="18"/>
          <w:szCs w:val="18"/>
          <w:color w:val="auto"/>
        </w:rPr>
        <w:t>Any meeting of stockholders, whether annual or special, may be adjourned</w:t>
      </w:r>
    </w:p>
    <w:p>
      <w:pPr>
        <w:spacing w:after="0" w:line="18"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from time to time either by the person(s) who called the meeting or the Chairperson of the meeting, or by the vote of the holders of a majority of the voting power of the shares present in person, by remote communication, if applicable, or represented by proxy duly authorized at the</w:t>
      </w:r>
    </w:p>
    <w:p>
      <w:pPr>
        <w:spacing w:after="0" w:line="236" w:lineRule="auto"/>
        <w:rPr>
          <w:sz w:val="20"/>
          <w:szCs w:val="20"/>
          <w:color w:val="auto"/>
        </w:rPr>
      </w:pPr>
      <w:r>
        <w:rPr>
          <w:rFonts w:ascii="Arial" w:cs="Arial" w:eastAsia="Arial" w:hAnsi="Arial"/>
          <w:sz w:val="18"/>
          <w:szCs w:val="18"/>
          <w:color w:val="auto"/>
        </w:rPr>
        <w:t>meeting and entitled to vote thereon. When a meeting is adjourned to another time or place, if any, notice need not be given of the adjourned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meeting if the time and place, if any, thereof are announced at the meeting at which the adjournment is taken. At the adjourned meeting, the corporation may transact any business that might have been transacted at the original meeting. If the adjournment is for more than 30 days, a</w:t>
      </w:r>
    </w:p>
    <w:p>
      <w:pPr>
        <w:spacing w:after="0" w:line="235" w:lineRule="auto"/>
        <w:rPr>
          <w:sz w:val="20"/>
          <w:szCs w:val="20"/>
          <w:color w:val="auto"/>
        </w:rPr>
      </w:pPr>
      <w:r>
        <w:rPr>
          <w:rFonts w:ascii="Arial" w:cs="Arial" w:eastAsia="Arial" w:hAnsi="Arial"/>
          <w:sz w:val="18"/>
          <w:szCs w:val="18"/>
          <w:color w:val="auto"/>
        </w:rPr>
        <w:t>notice of the adjourned meeting shall be given to each stockholder of record entitled to vote at the meeting. If after the adjournment a new</w:t>
      </w:r>
    </w:p>
    <w:p>
      <w:pPr>
        <w:spacing w:after="0" w:line="226" w:lineRule="auto"/>
        <w:rPr>
          <w:sz w:val="20"/>
          <w:szCs w:val="20"/>
          <w:color w:val="auto"/>
        </w:rPr>
      </w:pPr>
      <w:r>
        <w:rPr>
          <w:rFonts w:ascii="Arial" w:cs="Arial" w:eastAsia="Arial" w:hAnsi="Arial"/>
          <w:sz w:val="18"/>
          <w:szCs w:val="18"/>
          <w:color w:val="auto"/>
        </w:rPr>
        <w:t>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stockholders entitled to vote at the adjourned meeting, and shall give notice of the adjourned meeting to each stockholder of record as of the record date so fixed for notice of such adjourned meeting.</w:t>
      </w:r>
    </w:p>
    <w:p>
      <w:pPr>
        <w:spacing w:after="0" w:line="15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 xml:space="preserve">Section 10. Voting Rights. </w:t>
      </w:r>
      <w:r>
        <w:rPr>
          <w:rFonts w:ascii="Arial" w:cs="Arial" w:eastAsia="Arial" w:hAnsi="Arial"/>
          <w:sz w:val="20"/>
          <w:szCs w:val="20"/>
          <w:color w:val="auto"/>
        </w:rPr>
        <w:t>For the purpose of determining those stockholders entitled to vote at any meeting of the stockholders,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provided by law, only persons in whose names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t>stand on the stock records of the corporation on the record date shall be entitled to vote at any meeting of stockholders. Every person entitled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to vote shall have the right to do so either in person, by remote communication, if applicable, or by an agent or agents authorized by a proxy granted in accordance with Delaware law. An agent so appointed need not be a stockholder. No proxy shall be voted after three years from its</w:t>
      </w:r>
    </w:p>
    <w:p>
      <w:pPr>
        <w:spacing w:after="0" w:line="235" w:lineRule="auto"/>
        <w:rPr>
          <w:sz w:val="20"/>
          <w:szCs w:val="20"/>
          <w:color w:val="auto"/>
        </w:rPr>
      </w:pPr>
      <w:r>
        <w:rPr>
          <w:rFonts w:ascii="Arial" w:cs="Arial" w:eastAsia="Arial" w:hAnsi="Arial"/>
          <w:sz w:val="18"/>
          <w:szCs w:val="18"/>
          <w:color w:val="auto"/>
        </w:rPr>
        <w:t>date of creation unless the proxy provides for a longer period. A proxy shall be irrevocable if it states that it is irrevocable and if, and only as</w:t>
      </w:r>
    </w:p>
    <w:p>
      <w:pPr>
        <w:ind w:right="20"/>
        <w:spacing w:after="0" w:line="226" w:lineRule="auto"/>
        <w:rPr>
          <w:sz w:val="20"/>
          <w:szCs w:val="20"/>
          <w:color w:val="auto"/>
        </w:rPr>
      </w:pPr>
      <w:r>
        <w:rPr>
          <w:rFonts w:ascii="Arial" w:cs="Arial" w:eastAsia="Arial" w:hAnsi="Arial"/>
          <w:sz w:val="18"/>
          <w:szCs w:val="18"/>
          <w:color w:val="auto"/>
        </w:rPr>
        <w:t>long as, it is coupled with an interest sufficient in law to support an irrevocable power. A stockholder may revoke any proxy which is not irrevocable by attending the meeting and voting in person or by delivering to the Secretary of the corporation a revocation of the proxy or a</w:t>
      </w:r>
    </w:p>
    <w:p>
      <w:pPr>
        <w:spacing w:after="0" w:line="236" w:lineRule="auto"/>
        <w:rPr>
          <w:sz w:val="20"/>
          <w:szCs w:val="20"/>
          <w:color w:val="auto"/>
        </w:rPr>
      </w:pPr>
      <w:r>
        <w:rPr>
          <w:rFonts w:ascii="Arial" w:cs="Arial" w:eastAsia="Arial" w:hAnsi="Arial"/>
          <w:sz w:val="18"/>
          <w:szCs w:val="18"/>
          <w:color w:val="auto"/>
        </w:rPr>
        <w:t xml:space="preserve">new proxy bearing a later date. </w:t>
      </w:r>
      <w:r>
        <w:rPr>
          <w:rFonts w:ascii="Arial" w:cs="Arial" w:eastAsia="Arial" w:hAnsi="Arial"/>
          <w:sz w:val="18"/>
          <w:szCs w:val="18"/>
          <w:u w:val="single" w:color="auto"/>
          <w:color w:val="auto"/>
        </w:rPr>
        <w:t>Any stockholder directly or indirectly soliciting proxies form other stockholders must use a proxy card color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u w:val="single" w:color="auto"/>
          <w:color w:val="auto"/>
        </w:rPr>
        <w:t>other than white, which shall be reserved for the exclusive use by the Board of Directors.</w:t>
      </w:r>
      <w:r>
        <w:rPr>
          <w:rFonts w:ascii="Arial" w:cs="Arial" w:eastAsia="Arial" w:hAnsi="Arial"/>
          <w:sz w:val="20"/>
          <w:szCs w:val="20"/>
          <w:color w:val="auto"/>
        </w:rPr>
        <w:t xml:space="preserve"> Voting at meetings of stockholders need not be by written ballot.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Joint Owners of Stock. </w:t>
      </w:r>
      <w:r>
        <w:rPr>
          <w:rFonts w:ascii="Arial" w:cs="Arial" w:eastAsia="Arial" w:hAnsi="Arial"/>
          <w:sz w:val="18"/>
          <w:szCs w:val="18"/>
          <w:color w:val="auto"/>
        </w:rPr>
        <w:t>If shares or other securities having voting power stand of record in the names of two or more persons,</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w:t>
      </w:r>
    </w:p>
    <w:p>
      <w:pPr>
        <w:spacing w:after="0" w:line="236" w:lineRule="auto"/>
        <w:rPr>
          <w:sz w:val="20"/>
          <w:szCs w:val="20"/>
          <w:color w:val="auto"/>
        </w:rPr>
      </w:pPr>
      <w:r>
        <w:rPr>
          <w:rFonts w:ascii="Arial" w:cs="Arial" w:eastAsia="Arial" w:hAnsi="Arial"/>
          <w:sz w:val="18"/>
          <w:szCs w:val="18"/>
          <w:color w:val="auto"/>
        </w:rPr>
        <w:t>furnished with a copy of the instrument or order appointing them or creating the relationship wherein it is so provided, their acts with respect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voting shall have the following effect: (a) if only one votes, his or her act binds all; (b) if more than one votes, the act of the majority so voting binds all; (c) if more than one votes, but the vote is evenly split on any particular matter, each faction may vote the securities in</w:t>
      </w:r>
    </w:p>
    <w:p>
      <w:pPr>
        <w:spacing w:after="0" w:line="236" w:lineRule="auto"/>
        <w:rPr>
          <w:sz w:val="20"/>
          <w:szCs w:val="20"/>
          <w:color w:val="auto"/>
        </w:rPr>
      </w:pPr>
      <w:r>
        <w:rPr>
          <w:rFonts w:ascii="Arial" w:cs="Arial" w:eastAsia="Arial" w:hAnsi="Arial"/>
          <w:sz w:val="18"/>
          <w:szCs w:val="18"/>
          <w:color w:val="auto"/>
        </w:rPr>
        <w:t>question proportionally, or may apply to the Delaware Court of Chancery for relief as provided in DGCL Section 217(b). If the instrument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filed with the Secretary shows that any such tenancy is held in unequal interests, a majority or even-split for the purpose of subsection (c) shall be a majority or even-split in interest.</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color w:val="auto"/>
        </w:rPr>
        <w:t xml:space="preserve">Section 12. List of Stockholders. </w:t>
      </w:r>
      <w:r>
        <w:rPr>
          <w:rFonts w:ascii="Arial" w:cs="Arial" w:eastAsia="Arial" w:hAnsi="Arial"/>
          <w:sz w:val="16"/>
          <w:szCs w:val="16"/>
          <w:color w:val="auto"/>
        </w:rPr>
        <w:t>The corporation shall prepare, at least ten days before every meeting of stockholders, a complete list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entitled to vote at said meeting, arranged in alphabetical order, showing the address of each stockholder and the number and</w:t>
      </w:r>
    </w:p>
    <w:p>
      <w:pPr>
        <w:spacing w:after="0" w:line="236" w:lineRule="auto"/>
        <w:rPr>
          <w:sz w:val="20"/>
          <w:szCs w:val="20"/>
          <w:color w:val="auto"/>
        </w:rPr>
      </w:pPr>
      <w:r>
        <w:rPr>
          <w:rFonts w:ascii="Arial" w:cs="Arial" w:eastAsia="Arial" w:hAnsi="Arial"/>
          <w:sz w:val="18"/>
          <w:szCs w:val="18"/>
          <w:color w:val="auto"/>
        </w:rPr>
        <w:t>class of shares registered in the name of each stockholder. Such list shall be open to the examination of any stockholder, for any purpose</w:t>
      </w:r>
    </w:p>
    <w:p>
      <w:pPr>
        <w:ind w:right="20"/>
        <w:spacing w:after="0" w:line="226" w:lineRule="auto"/>
        <w:rPr>
          <w:sz w:val="20"/>
          <w:szCs w:val="20"/>
          <w:color w:val="auto"/>
        </w:rPr>
      </w:pPr>
      <w:r>
        <w:rPr>
          <w:rFonts w:ascii="Arial" w:cs="Arial" w:eastAsia="Arial" w:hAnsi="Arial"/>
          <w:sz w:val="18"/>
          <w:szCs w:val="18"/>
          <w:color w:val="auto"/>
        </w:rPr>
        <w:t>germane to the meeting, (a) on a reasonably accessible electronic network, provided that the information required to gain access to such list is provided with the notice of the meeting, or (b) during ordinary business hours, at the principal place of business of the corporation. In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event that the corporation determines to make the list available on an electronic network, the corporation may take reasonable steps to ensure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that such information is available only to stockholders of the corporation. The list shall be open to examination of any stockholder during the time of the meeting as provided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Action without Meeting. </w:t>
      </w:r>
      <w:r>
        <w:rPr>
          <w:rFonts w:ascii="Arial" w:cs="Arial" w:eastAsia="Arial" w:hAnsi="Arial"/>
          <w:sz w:val="18"/>
          <w:szCs w:val="18"/>
          <w:color w:val="auto"/>
        </w:rPr>
        <w:t>Any action required or permitted to be taken at any annual or special meeting of stockholders of the</w:t>
      </w:r>
    </w:p>
    <w:p>
      <w:pPr>
        <w:spacing w:after="0" w:line="18"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corporation may be taken without a meeting, without prior notice and without a vote only to the extent permitted by and in the manner provided in the Certificate of Incorporation and in accordance with applicable law.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14. Organization.</w:t>
      </w:r>
    </w:p>
    <w:p>
      <w:pPr>
        <w:spacing w:after="0" w:line="195" w:lineRule="exact"/>
        <w:rPr>
          <w:sz w:val="20"/>
          <w:szCs w:val="20"/>
          <w:color w:val="auto"/>
        </w:rPr>
      </w:pPr>
    </w:p>
    <w:p>
      <w:pPr>
        <w:jc w:val="both"/>
        <w:ind w:firstLine="980"/>
        <w:spacing w:after="0" w:line="225" w:lineRule="auto"/>
        <w:tabs>
          <w:tab w:leader="none" w:pos="1284"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At every meeting of stockholders, the Chairperson of the Board of Directors, or, if a Chairperson has not been appointed, is absent or refuses to act, the Chief Executive Officer, or, if no Chief Executive Officer is then serving, is absent or refuses to act, the President, or, if the President is absent or refuses to act, a Chairperson of the meeting designated by the Board of Directors, or, if the Board of Directors does not designate such Chairperson, a Chairperson chosen by a majority of the voting power of the stockholders entitled to vote, present in person or by proxy duly authorized, shall act as Chairperson. The Chairperson of the Board may appoint the Chief Executive Officer as Chairperson of the meeting. The Secretary, or, in his or her absence, an Assistant Secretary directed to do so by the Chairperson of the meeting, shall act as secretary of the meeting.</w:t>
      </w:r>
    </w:p>
    <w:p>
      <w:pPr>
        <w:spacing w:after="0" w:line="159" w:lineRule="exact"/>
        <w:rPr>
          <w:rFonts w:ascii="Arial" w:cs="Arial" w:eastAsia="Arial" w:hAnsi="Arial"/>
          <w:sz w:val="19"/>
          <w:szCs w:val="19"/>
          <w:b w:val="1"/>
          <w:bCs w:val="1"/>
          <w:color w:val="auto"/>
        </w:rPr>
      </w:pPr>
    </w:p>
    <w:p>
      <w:pPr>
        <w:jc w:val="both"/>
        <w:ind w:firstLine="980"/>
        <w:spacing w:after="0" w:line="259" w:lineRule="auto"/>
        <w:tabs>
          <w:tab w:leader="none" w:pos="129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color w:val="auto"/>
        </w:rPr>
        <w:t>the meeting, to prescribe such rules, regulations and procedures and to do all such acts as, in the judgment of such Chairperson, are necessary,</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appropriate or convenient for the proper conduct of the meeting, including, without limitation, establishing an agenda or order of business for the meeting, rules and procedures for maintaining order at the meeting and the safety of those present, limitations on participation in such</w:t>
      </w:r>
    </w:p>
    <w:p>
      <w:pPr>
        <w:spacing w:after="0" w:line="224" w:lineRule="auto"/>
        <w:rPr>
          <w:sz w:val="20"/>
          <w:szCs w:val="20"/>
          <w:color w:val="auto"/>
        </w:rPr>
      </w:pPr>
      <w:r>
        <w:rPr>
          <w:rFonts w:ascii="Arial" w:cs="Arial" w:eastAsia="Arial" w:hAnsi="Arial"/>
          <w:sz w:val="19"/>
          <w:szCs w:val="19"/>
          <w:color w:val="auto"/>
        </w:rPr>
        <w:t>meeting to stockholders of record of the corporation and their duly authorized and constituted proxies and such other persons as the</w:t>
      </w:r>
    </w:p>
    <w:p>
      <w:pPr>
        <w:spacing w:after="0" w:line="226" w:lineRule="auto"/>
        <w:rPr>
          <w:sz w:val="20"/>
          <w:szCs w:val="20"/>
          <w:color w:val="auto"/>
        </w:rPr>
      </w:pPr>
      <w:r>
        <w:rPr>
          <w:rFonts w:ascii="Arial" w:cs="Arial" w:eastAsia="Arial" w:hAnsi="Arial"/>
          <w:sz w:val="18"/>
          <w:szCs w:val="18"/>
          <w:color w:val="auto"/>
        </w:rPr>
        <w:t>Chairperson shall permit, restrictions on entry to the meeting after the time fixed for the commencement thereof, limitations on the time allotted to questions or comments by participants and regulation of the opening and closing of the polls for balloting on matters which are to</w:t>
      </w:r>
    </w:p>
    <w:p>
      <w:pPr>
        <w:spacing w:after="0" w:line="236" w:lineRule="auto"/>
        <w:rPr>
          <w:sz w:val="20"/>
          <w:szCs w:val="20"/>
          <w:color w:val="auto"/>
        </w:rPr>
      </w:pPr>
      <w:r>
        <w:rPr>
          <w:rFonts w:ascii="Arial" w:cs="Arial" w:eastAsia="Arial" w:hAnsi="Arial"/>
          <w:sz w:val="18"/>
          <w:szCs w:val="18"/>
          <w:color w:val="auto"/>
        </w:rPr>
        <w:t>be voted on by ballot. The date and time of the opening and closing of the polls for each matter upon which the stockholders will vote at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77"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ARTICLE IV</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DIRECTORS</w:t>
      </w:r>
    </w:p>
    <w:p>
      <w:pPr>
        <w:spacing w:after="0" w:line="243"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Section 15. Number and Term of Office. </w:t>
      </w:r>
      <w:r>
        <w:rPr>
          <w:rFonts w:ascii="Arial" w:cs="Arial" w:eastAsia="Arial" w:hAnsi="Arial"/>
          <w:sz w:val="20"/>
          <w:szCs w:val="20"/>
          <w:color w:val="auto"/>
        </w:rPr>
        <w:t>The authorized number of directors of the corporation shall be fixed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Certificate of Incorporation. Directors need not be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16. Required Vote for the Election of Directors.</w:t>
      </w:r>
    </w:p>
    <w:p>
      <w:pPr>
        <w:spacing w:after="0" w:line="195" w:lineRule="exact"/>
        <w:rPr>
          <w:sz w:val="20"/>
          <w:szCs w:val="20"/>
          <w:color w:val="auto"/>
        </w:rPr>
      </w:pPr>
    </w:p>
    <w:p>
      <w:pPr>
        <w:jc w:val="both"/>
        <w:ind w:firstLine="980"/>
        <w:spacing w:after="0" w:line="225" w:lineRule="auto"/>
        <w:tabs>
          <w:tab w:leader="none" w:pos="1346" w:val="left"/>
        </w:tabs>
        <w:numPr>
          <w:ilvl w:val="0"/>
          <w:numId w:val="60"/>
        </w:numPr>
        <w:rPr>
          <w:rFonts w:ascii="Arial" w:cs="Arial" w:eastAsia="Arial" w:hAnsi="Arial"/>
          <w:sz w:val="19"/>
          <w:szCs w:val="19"/>
          <w:b w:val="1"/>
          <w:bCs w:val="1"/>
          <w:u w:val="single" w:color="auto"/>
          <w:color w:val="auto"/>
        </w:rPr>
      </w:pPr>
      <w:r>
        <w:rPr>
          <w:rFonts w:ascii="Arial" w:cs="Arial" w:eastAsia="Arial" w:hAnsi="Arial"/>
          <w:sz w:val="19"/>
          <w:szCs w:val="19"/>
          <w:color w:val="auto"/>
        </w:rPr>
        <w:t xml:space="preserve">Each director shall be elected by the vote of the majority of the votes cast with respect to that director’s election at any </w:t>
      </w:r>
      <w:r>
        <w:rPr>
          <w:rFonts w:ascii="Arial" w:cs="Arial" w:eastAsia="Arial" w:hAnsi="Arial"/>
          <w:sz w:val="19"/>
          <w:szCs w:val="19"/>
          <w:u w:val="single" w:color="auto"/>
          <w:color w:val="auto"/>
        </w:rPr>
        <w:t>meeting for the election of directors at which a quorum is present; provided, if the number of persons properly nominated to serve as directors exceeds the number of directors to be elected, then each director of the corporation shall be elected by the vote of a plurality of the shares present in person, by remote communication, if applicable, or represented by proxy duly authorized at the meeting and entitled to vote on the election of directors. For purposes of this Section 16, a majority of votes cast shall mean that the number of shares voted “for” a director’s election exceeds 50% of the number of votes cast with respect to the director’s election; votes cast shall include votes to withhold authority and exclude abstentions with respect to the director’s election.</w:t>
      </w:r>
    </w:p>
    <w:p>
      <w:pPr>
        <w:spacing w:after="0" w:line="159" w:lineRule="exact"/>
        <w:rPr>
          <w:rFonts w:ascii="Arial" w:cs="Arial" w:eastAsia="Arial" w:hAnsi="Arial"/>
          <w:sz w:val="19"/>
          <w:szCs w:val="19"/>
          <w:b w:val="1"/>
          <w:bCs w:val="1"/>
          <w:u w:val="single" w:color="auto"/>
          <w:color w:val="auto"/>
        </w:rPr>
      </w:pPr>
    </w:p>
    <w:p>
      <w:pPr>
        <w:jc w:val="both"/>
        <w:ind w:firstLine="980"/>
        <w:spacing w:after="0" w:line="223" w:lineRule="auto"/>
        <w:tabs>
          <w:tab w:leader="none" w:pos="1344" w:val="left"/>
        </w:tabs>
        <w:numPr>
          <w:ilvl w:val="0"/>
          <w:numId w:val="60"/>
        </w:numPr>
        <w:rPr>
          <w:rFonts w:ascii="Arial" w:cs="Arial" w:eastAsia="Arial" w:hAnsi="Arial"/>
          <w:sz w:val="19"/>
          <w:szCs w:val="19"/>
          <w:b w:val="1"/>
          <w:bCs w:val="1"/>
          <w:u w:val="single" w:color="auto"/>
          <w:color w:val="auto"/>
        </w:rPr>
      </w:pPr>
      <w:r>
        <w:rPr>
          <w:rFonts w:ascii="Arial" w:cs="Arial" w:eastAsia="Arial" w:hAnsi="Arial"/>
          <w:sz w:val="19"/>
          <w:szCs w:val="19"/>
          <w:color w:val="auto"/>
        </w:rPr>
        <w:t xml:space="preserve">If a nominee for director is not elected and the nominee is an incumbent director, the director shall promptly tender his or </w:t>
      </w:r>
      <w:r>
        <w:rPr>
          <w:rFonts w:ascii="Arial" w:cs="Arial" w:eastAsia="Arial" w:hAnsi="Arial"/>
          <w:sz w:val="19"/>
          <w:szCs w:val="19"/>
          <w:u w:val="single" w:color="auto"/>
          <w:color w:val="auto"/>
        </w:rPr>
        <w:t>her resignation to the Board of Directors, subject to acceptance by the Board of Directors. The Nominating and Corporate Governance Committee of the Board of Directors (the “</w:t>
      </w:r>
      <w:r>
        <w:rPr>
          <w:rFonts w:ascii="Arial" w:cs="Arial" w:eastAsia="Arial" w:hAnsi="Arial"/>
          <w:sz w:val="19"/>
          <w:szCs w:val="19"/>
          <w:b w:val="1"/>
          <w:bCs w:val="1"/>
          <w:i w:val="1"/>
          <w:iCs w:val="1"/>
          <w:u w:val="single" w:color="auto"/>
          <w:color w:val="auto"/>
        </w:rPr>
        <w:t>Nominating Committee</w:t>
      </w:r>
      <w:r>
        <w:rPr>
          <w:rFonts w:ascii="Arial" w:cs="Arial" w:eastAsia="Arial" w:hAnsi="Arial"/>
          <w:sz w:val="19"/>
          <w:szCs w:val="19"/>
          <w:u w:val="single" w:color="auto"/>
          <w:color w:val="auto"/>
        </w:rPr>
        <w:t>”) will make a recommendation to the Board of Directors as to whether to accept or reject the tendered resignation, or whether other action should be taken. The Board of Directors will act on the tendered resignation, taking into account the Nominating Committee’s recommendation, and publicly disclose (by a press release, a filing with the SEC or other broadly disseminated means of communication) its decision regarding the tendered resignation and the rationale behind the decision within 90 days from the date of certification of the election results. The Nominating Committee in making its recommendation and the Board of Directors in making its decision may each consider any factors or other information that they consider appropriate and relevant. The director who tenders his or her resignation will not participate in the recommendation of the Nominating Committee or the decision of the Board of Directors with respect to his or her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-2169160</wp:posOffset>
            </wp:positionV>
            <wp:extent cx="63138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-1157605</wp:posOffset>
            </wp:positionV>
            <wp:extent cx="63049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6304915" cy="8890"/>
                    </a:xfrm>
                    <a:prstGeom prst="rect">
                      <a:avLst/>
                    </a:prstGeom>
                    <a:noFill/>
                  </pic:spPr>
                </pic:pic>
              </a:graphicData>
            </a:graphic>
          </wp:anchor>
        </w:drawing>
      </w:r>
    </w:p>
    <w:p>
      <w:pPr>
        <w:spacing w:after="0" w:line="144"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Section 17. Powers. </w:t>
      </w:r>
      <w:r>
        <w:rPr>
          <w:rFonts w:ascii="Arial" w:cs="Arial" w:eastAsia="Arial" w:hAnsi="Arial"/>
          <w:sz w:val="20"/>
          <w:szCs w:val="20"/>
          <w:color w:val="auto"/>
        </w:rPr>
        <w:t>Except as otherwise provided in the Certificate of Incorporation or the DGCL, the business and affairs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shall be managed by or under the direction of the Board of Directors.</w:t>
      </w:r>
    </w:p>
    <w:p>
      <w:pPr>
        <w:spacing w:after="0" w:line="16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 xml:space="preserve">Section 18. Classes of Directors. </w:t>
      </w:r>
      <w:r>
        <w:rPr>
          <w:rFonts w:ascii="Arial" w:cs="Arial" w:eastAsia="Arial" w:hAnsi="Arial"/>
          <w:sz w:val="20"/>
          <w:szCs w:val="20"/>
          <w:color w:val="auto"/>
        </w:rPr>
        <w:t>The directors shall be divided into classes as and to the extent provided in the Certificate of Incorporation,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required by applicable law.</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 xml:space="preserve">Section 19. Vacancies. </w:t>
      </w:r>
      <w:r>
        <w:rPr>
          <w:rFonts w:ascii="Arial" w:cs="Arial" w:eastAsia="Arial" w:hAnsi="Arial"/>
          <w:sz w:val="20"/>
          <w:szCs w:val="20"/>
          <w:color w:val="auto"/>
        </w:rPr>
        <w:t>Vacancies on the Board of Directors shall be filled as provided in the Certificate of Incorporation, except as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 xml:space="preserve">Section 20. Resignation. </w:t>
      </w:r>
      <w:r>
        <w:rPr>
          <w:rFonts w:ascii="Arial" w:cs="Arial" w:eastAsia="Arial" w:hAnsi="Arial"/>
          <w:sz w:val="18"/>
          <w:szCs w:val="18"/>
          <w:color w:val="auto"/>
        </w:rPr>
        <w:t>Any director may resign at any time by delivering his or her notice in writing or by electronic transmission to the</w:t>
      </w:r>
    </w:p>
    <w:p>
      <w:pPr>
        <w:spacing w:after="0" w:line="18"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Secretary, such resignation to specify whether it will be effective at a particular time. If no such specification is made, the resignation shall be effective at the time of delivery of the resignation to the Secretary.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21. Removal. </w:t>
      </w:r>
      <w:r>
        <w:rPr>
          <w:rFonts w:ascii="Arial" w:cs="Arial" w:eastAsia="Arial" w:hAnsi="Arial"/>
          <w:sz w:val="19"/>
          <w:szCs w:val="19"/>
          <w:color w:val="auto"/>
        </w:rPr>
        <w:t>Subject to the rights of holders of any series of Preferred Stock to elect additional directors under specified</w:t>
      </w:r>
    </w:p>
    <w:p>
      <w:pPr>
        <w:spacing w:after="0" w:line="6"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circumstances, neither the Board of Directors nor any individual director may be removed except in the manner specified in Section 141 of the DGCL.</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22. Meetings.</w:t>
      </w:r>
    </w:p>
    <w:p>
      <w:pPr>
        <w:spacing w:after="0" w:line="189" w:lineRule="exact"/>
        <w:rPr>
          <w:sz w:val="20"/>
          <w:szCs w:val="20"/>
          <w:color w:val="auto"/>
        </w:rPr>
      </w:pPr>
    </w:p>
    <w:p>
      <w:pPr>
        <w:jc w:val="both"/>
        <w:ind w:firstLine="980"/>
        <w:spacing w:after="0" w:line="216" w:lineRule="auto"/>
        <w:tabs>
          <w:tab w:leader="none" w:pos="1284"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Regular Meetings. </w:t>
      </w:r>
      <w:r>
        <w:rPr>
          <w:rFonts w:ascii="Arial" w:cs="Arial" w:eastAsia="Arial" w:hAnsi="Arial"/>
          <w:sz w:val="20"/>
          <w:szCs w:val="20"/>
          <w:color w:val="auto"/>
        </w:rPr>
        <w:t>Unless otherwise restricted by the Certificate of Incorporation, regular meetings of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66" w:lineRule="exact"/>
        <w:rPr>
          <w:rFonts w:ascii="Arial" w:cs="Arial" w:eastAsia="Arial" w:hAnsi="Arial"/>
          <w:sz w:val="20"/>
          <w:szCs w:val="20"/>
          <w:b w:val="1"/>
          <w:bCs w:val="1"/>
          <w:color w:val="auto"/>
        </w:rPr>
      </w:pPr>
    </w:p>
    <w:p>
      <w:pPr>
        <w:jc w:val="both"/>
        <w:ind w:firstLine="980"/>
        <w:spacing w:after="0" w:line="225" w:lineRule="auto"/>
        <w:tabs>
          <w:tab w:leader="none" w:pos="1295"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Special Meetings. </w:t>
      </w:r>
      <w:r>
        <w:rPr>
          <w:rFonts w:ascii="Arial" w:cs="Arial" w:eastAsia="Arial" w:hAnsi="Arial"/>
          <w:sz w:val="20"/>
          <w:szCs w:val="20"/>
          <w:color w:val="auto"/>
        </w:rPr>
        <w:t>Unless otherwise restricted by the Certificate of Incorporation, special meetings of the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may be held at any time and place within or without the State of Delaware whenever called by the Chairperson of the Board, the Chief Executive Officer or the Board of Directors.</w:t>
      </w:r>
    </w:p>
    <w:p>
      <w:pPr>
        <w:spacing w:after="0" w:line="163" w:lineRule="exact"/>
        <w:rPr>
          <w:rFonts w:ascii="Arial" w:cs="Arial" w:eastAsia="Arial" w:hAnsi="Arial"/>
          <w:sz w:val="20"/>
          <w:szCs w:val="20"/>
          <w:b w:val="1"/>
          <w:bCs w:val="1"/>
          <w:color w:val="auto"/>
        </w:rPr>
      </w:pPr>
    </w:p>
    <w:p>
      <w:pPr>
        <w:jc w:val="both"/>
        <w:ind w:firstLine="980"/>
        <w:spacing w:after="0" w:line="221" w:lineRule="auto"/>
        <w:tabs>
          <w:tab w:leader="none" w:pos="1286"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Meetings by Electronic Communications Equipment. </w:t>
      </w:r>
      <w:r>
        <w:rPr>
          <w:rFonts w:ascii="Arial" w:cs="Arial" w:eastAsia="Arial" w:hAnsi="Arial"/>
          <w:sz w:val="20"/>
          <w:szCs w:val="20"/>
          <w:color w:val="auto"/>
        </w:rPr>
        <w:t>Any member of the Board of Directors, or of any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51" w:lineRule="exact"/>
        <w:rPr>
          <w:rFonts w:ascii="Arial" w:cs="Arial" w:eastAsia="Arial" w:hAnsi="Arial"/>
          <w:sz w:val="20"/>
          <w:szCs w:val="20"/>
          <w:b w:val="1"/>
          <w:bCs w:val="1"/>
          <w:color w:val="auto"/>
        </w:rPr>
      </w:pPr>
    </w:p>
    <w:p>
      <w:pPr>
        <w:jc w:val="both"/>
        <w:ind w:firstLine="980"/>
        <w:spacing w:after="0" w:line="247" w:lineRule="auto"/>
        <w:tabs>
          <w:tab w:leader="none" w:pos="129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Special Meetings. </w:t>
      </w:r>
      <w:r>
        <w:rPr>
          <w:rFonts w:ascii="Arial" w:cs="Arial" w:eastAsia="Arial" w:hAnsi="Arial"/>
          <w:sz w:val="18"/>
          <w:szCs w:val="18"/>
          <w:color w:val="auto"/>
        </w:rPr>
        <w:t>Notice of the time and place of all special meetings of the Board of Directors shall be given</w:t>
      </w:r>
      <w:r>
        <w:rPr>
          <w:rFonts w:ascii="Arial" w:cs="Arial" w:eastAsia="Arial" w:hAnsi="Arial"/>
          <w:sz w:val="18"/>
          <w:szCs w:val="18"/>
          <w:b w:val="1"/>
          <w:bCs w:val="1"/>
          <w:color w:val="auto"/>
        </w:rPr>
        <w:t xml:space="preserve"> </w:t>
      </w:r>
      <w:r>
        <w:rPr>
          <w:rFonts w:ascii="Arial" w:cs="Arial" w:eastAsia="Arial" w:hAnsi="Arial"/>
          <w:sz w:val="18"/>
          <w:szCs w:val="18"/>
          <w:color w:val="auto"/>
        </w:rPr>
        <w:t>orally or in writing, by telephone, including a voice messaging system or other system or technology designed to record and communicate</w:t>
      </w:r>
    </w:p>
    <w:p>
      <w:pPr>
        <w:spacing w:after="0" w:line="220" w:lineRule="auto"/>
        <w:rPr>
          <w:sz w:val="20"/>
          <w:szCs w:val="20"/>
          <w:color w:val="auto"/>
        </w:rPr>
      </w:pPr>
      <w:r>
        <w:rPr>
          <w:rFonts w:ascii="Arial" w:cs="Arial" w:eastAsia="Arial" w:hAnsi="Arial"/>
          <w:sz w:val="18"/>
          <w:szCs w:val="18"/>
          <w:color w:val="auto"/>
        </w:rPr>
        <w:t>messages, facsimile, telegraph or telex, or by electronic mail or other electronic means, during normal business hours, at least twenty-four</w:t>
      </w:r>
    </w:p>
    <w:p>
      <w:pPr>
        <w:jc w:val="both"/>
        <w:ind w:firstLine="8"/>
        <w:spacing w:after="0" w:line="215" w:lineRule="auto"/>
        <w:tabs>
          <w:tab w:leader="none" w:pos="388" w:val="left"/>
        </w:tabs>
        <w:numPr>
          <w:ilvl w:val="0"/>
          <w:numId w:val="62"/>
        </w:numPr>
        <w:rPr>
          <w:rFonts w:ascii="Arial" w:cs="Arial" w:eastAsia="Arial" w:hAnsi="Arial"/>
          <w:sz w:val="20"/>
          <w:szCs w:val="20"/>
          <w:color w:val="auto"/>
        </w:rPr>
      </w:pPr>
      <w:r>
        <w:rPr>
          <w:rFonts w:ascii="Arial" w:cs="Arial" w:eastAsia="Arial" w:hAnsi="Arial"/>
          <w:sz w:val="20"/>
          <w:szCs w:val="20"/>
          <w:color w:val="auto"/>
        </w:rPr>
        <w:t>hours before the date and time of the meeting. If notice is sent by U.S. mail, it shall be sent by first class mail, postage prepaid at least three days before the date of the meeting. Notice of any special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62" w:lineRule="exact"/>
        <w:rPr>
          <w:rFonts w:ascii="Arial" w:cs="Arial" w:eastAsia="Arial" w:hAnsi="Arial"/>
          <w:sz w:val="20"/>
          <w:szCs w:val="20"/>
          <w:color w:val="auto"/>
        </w:rPr>
      </w:pPr>
    </w:p>
    <w:p>
      <w:pPr>
        <w:jc w:val="both"/>
        <w:ind w:firstLine="980"/>
        <w:spacing w:after="0" w:line="215" w:lineRule="auto"/>
        <w:tabs>
          <w:tab w:leader="none" w:pos="1286" w:val="left"/>
        </w:tabs>
        <w:numPr>
          <w:ilvl w:val="1"/>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Notice. </w:t>
      </w:r>
      <w:r>
        <w:rPr>
          <w:rFonts w:ascii="Arial" w:cs="Arial" w:eastAsia="Arial" w:hAnsi="Arial"/>
          <w:sz w:val="20"/>
          <w:szCs w:val="20"/>
          <w:color w:val="auto"/>
        </w:rPr>
        <w:t>The transaction of all business at any meeting of the Board of Directors, or any committee thereof,</w:t>
      </w:r>
      <w:r>
        <w:rPr>
          <w:rFonts w:ascii="Arial" w:cs="Arial" w:eastAsia="Arial" w:hAnsi="Arial"/>
          <w:sz w:val="20"/>
          <w:szCs w:val="20"/>
          <w:b w:val="1"/>
          <w:bCs w:val="1"/>
          <w:color w:val="auto"/>
        </w:rPr>
        <w:t xml:space="preserve"> </w:t>
      </w:r>
      <w:r>
        <w:rPr>
          <w:rFonts w:ascii="Arial" w:cs="Arial" w:eastAsia="Arial" w:hAnsi="Arial"/>
          <w:sz w:val="20"/>
          <w:szCs w:val="20"/>
          <w:color w:val="auto"/>
        </w:rPr>
        <w:t>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Notice of any meeting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23. Quorum and Voting.</w:t>
      </w:r>
    </w:p>
    <w:p>
      <w:pPr>
        <w:spacing w:after="0" w:line="195" w:lineRule="exact"/>
        <w:rPr>
          <w:sz w:val="20"/>
          <w:szCs w:val="20"/>
          <w:color w:val="auto"/>
        </w:rPr>
      </w:pPr>
    </w:p>
    <w:p>
      <w:pPr>
        <w:jc w:val="both"/>
        <w:ind w:firstLine="980"/>
        <w:spacing w:after="0" w:line="218" w:lineRule="auto"/>
        <w:tabs>
          <w:tab w:leader="none" w:pos="1284"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 xml:space="preserve">Unless the Certificate of Incorporation requires a greater number, a quorum of the Board of Directors shall consist of a majority of the directors currently serving on the Board of Directors in accordance with the Certificate of Incorporation (but in no event less than one third of the total authorized number of directors);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399" w:right="339" w:bottom="1440" w:gutter="0" w:footer="0" w:header="0"/>
        </w:sectPr>
      </w:pPr>
    </w:p>
    <w:bookmarkStart w:id="166" w:name="page167"/>
    <w:bookmarkEnd w:id="166"/>
    <w:p>
      <w:pPr>
        <w:jc w:val="both"/>
        <w:ind w:firstLine="980"/>
        <w:spacing w:after="0" w:line="223" w:lineRule="auto"/>
        <w:tabs>
          <w:tab w:leader="none" w:pos="1295"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24. Action without Meeting. </w:t>
      </w:r>
      <w:r>
        <w:rPr>
          <w:rFonts w:ascii="Arial" w:cs="Arial" w:eastAsia="Arial" w:hAnsi="Arial"/>
          <w:sz w:val="18"/>
          <w:szCs w:val="18"/>
          <w:color w:val="auto"/>
        </w:rPr>
        <w:t>Unless otherwise restricted by the Certificate of Incorporation or these Bylaws, any action required or</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The consent or consents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filed with the minutes of proceedings of the Board of Directors or committee.</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Section 25. Fees and Compensation. </w:t>
      </w:r>
      <w:r>
        <w:rPr>
          <w:rFonts w:ascii="Arial" w:cs="Arial" w:eastAsia="Arial" w:hAnsi="Arial"/>
          <w:sz w:val="18"/>
          <w:szCs w:val="18"/>
          <w:color w:val="auto"/>
        </w:rPr>
        <w:t>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 committee thereof to which the Board of Directors has delegated such responsibility and authority, including, if so approved,</w:t>
      </w:r>
    </w:p>
    <w:p>
      <w:pPr>
        <w:spacing w:after="0" w:line="223" w:lineRule="auto"/>
        <w:rPr>
          <w:sz w:val="20"/>
          <w:szCs w:val="20"/>
          <w:color w:val="auto"/>
        </w:rPr>
      </w:pPr>
      <w:r>
        <w:rPr>
          <w:rFonts w:ascii="Arial" w:cs="Arial" w:eastAsia="Arial" w:hAnsi="Arial"/>
          <w:sz w:val="19"/>
          <w:szCs w:val="19"/>
          <w:color w:val="auto"/>
        </w:rPr>
        <w:t>by resolution of the Board of Directors or a committee thereof to which the Board of Directors has delegated such responsibility and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authority, a fixed sum and expenses of attendance, if any, for attendance at each regular or special meeting of the Board of Directors and at any meeting of a committee of the Board of Directors. Nothing herein contained shall be construed to preclude any director from serving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corporation in any other capacity as an officer, agent, employee, or otherwise and receiving compensation therefor.</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26. Committees.</w:t>
      </w:r>
    </w:p>
    <w:p>
      <w:pPr>
        <w:spacing w:after="0" w:line="175" w:lineRule="exact"/>
        <w:rPr>
          <w:sz w:val="20"/>
          <w:szCs w:val="20"/>
          <w:color w:val="auto"/>
        </w:rPr>
      </w:pPr>
    </w:p>
    <w:p>
      <w:pPr>
        <w:jc w:val="both"/>
        <w:ind w:firstLine="980"/>
        <w:spacing w:after="0" w:line="215" w:lineRule="auto"/>
        <w:tabs>
          <w:tab w:leader="none" w:pos="1284"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Executive Committee. </w:t>
      </w:r>
      <w:r>
        <w:rPr>
          <w:rFonts w:ascii="Arial" w:cs="Arial" w:eastAsia="Arial" w:hAnsi="Arial"/>
          <w:sz w:val="20"/>
          <w:szCs w:val="20"/>
          <w:color w:val="auto"/>
        </w:rPr>
        <w:t>The Board of Directors may appoint an Executive Committee to consist of one or more members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64" w:lineRule="exact"/>
        <w:rPr>
          <w:rFonts w:ascii="Arial" w:cs="Arial" w:eastAsia="Arial" w:hAnsi="Arial"/>
          <w:sz w:val="20"/>
          <w:szCs w:val="20"/>
          <w:b w:val="1"/>
          <w:bCs w:val="1"/>
          <w:color w:val="auto"/>
        </w:rPr>
      </w:pPr>
    </w:p>
    <w:p>
      <w:pPr>
        <w:jc w:val="both"/>
        <w:ind w:firstLine="980"/>
        <w:spacing w:after="0" w:line="233" w:lineRule="auto"/>
        <w:tabs>
          <w:tab w:leader="none" w:pos="1295"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Committees. </w:t>
      </w:r>
      <w:r>
        <w:rPr>
          <w:rFonts w:ascii="Arial" w:cs="Arial" w:eastAsia="Arial" w:hAnsi="Arial"/>
          <w:sz w:val="19"/>
          <w:szCs w:val="19"/>
          <w:color w:val="auto"/>
        </w:rPr>
        <w:t>The Board of Directors may, from time to time, appoint such other committees as may be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50" w:lineRule="exact"/>
        <w:rPr>
          <w:rFonts w:ascii="Arial" w:cs="Arial" w:eastAsia="Arial" w:hAnsi="Arial"/>
          <w:sz w:val="19"/>
          <w:szCs w:val="19"/>
          <w:b w:val="1"/>
          <w:bCs w:val="1"/>
          <w:color w:val="auto"/>
        </w:rPr>
      </w:pPr>
    </w:p>
    <w:p>
      <w:pPr>
        <w:jc w:val="both"/>
        <w:ind w:firstLine="980"/>
        <w:spacing w:after="0" w:line="223" w:lineRule="auto"/>
        <w:tabs>
          <w:tab w:leader="none" w:pos="1286"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The Board of Directors, subject to any requirements of any outstanding series of Preferred Stock and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subsections (a) or (b) of this Section </w:t>
      </w:r>
      <w:r>
        <w:rPr>
          <w:rFonts w:ascii="Arial" w:cs="Arial" w:eastAsia="Arial" w:hAnsi="Arial"/>
          <w:sz w:val="19"/>
          <w:szCs w:val="19"/>
          <w:u w:val="single" w:color="auto"/>
          <w:color w:val="auto"/>
        </w:rPr>
        <w:t>26</w:t>
      </w:r>
      <w:r>
        <w:rPr>
          <w:rFonts w:ascii="Arial" w:cs="Arial" w:eastAsia="Arial" w:hAnsi="Arial"/>
          <w:sz w:val="19"/>
          <w:szCs w:val="19"/>
          <w:color w:val="auto"/>
        </w:rPr>
        <w:t>,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0" w:lineRule="exact"/>
        <w:rPr>
          <w:rFonts w:ascii="Arial" w:cs="Arial" w:eastAsia="Arial" w:hAnsi="Arial"/>
          <w:sz w:val="19"/>
          <w:szCs w:val="19"/>
          <w:b w:val="1"/>
          <w:bCs w:val="1"/>
          <w:color w:val="auto"/>
        </w:rPr>
      </w:pPr>
    </w:p>
    <w:p>
      <w:pPr>
        <w:jc w:val="both"/>
        <w:ind w:firstLine="980"/>
        <w:spacing w:after="0" w:line="215" w:lineRule="auto"/>
        <w:tabs>
          <w:tab w:leader="none" w:pos="1295"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Meetings. </w:t>
      </w:r>
      <w:r>
        <w:rPr>
          <w:rFonts w:ascii="Arial" w:cs="Arial" w:eastAsia="Arial" w:hAnsi="Arial"/>
          <w:sz w:val="20"/>
          <w:szCs w:val="20"/>
          <w:color w:val="auto"/>
        </w:rPr>
        <w:t>Unless the Board of Directors shall otherwise provide, regular meetings of the Executive Committee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committee appointed pursuant to this Section </w:t>
      </w:r>
      <w:r>
        <w:rPr>
          <w:rFonts w:ascii="Arial" w:cs="Arial" w:eastAsia="Arial" w:hAnsi="Arial"/>
          <w:sz w:val="20"/>
          <w:szCs w:val="20"/>
          <w:u w:val="single" w:color="auto"/>
          <w:color w:val="auto"/>
        </w:rPr>
        <w:t>26</w:t>
      </w:r>
      <w:r>
        <w:rPr>
          <w:rFonts w:ascii="Arial" w:cs="Arial" w:eastAsia="Arial" w:hAnsi="Arial"/>
          <w:sz w:val="20"/>
          <w:szCs w:val="20"/>
          <w:color w:val="auto"/>
        </w:rPr>
        <w:t xml:space="preserve">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special meeting given in the manner provided for the giving of notice to members of the Board of Directors of the time and place of special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meetings of the Board of Directors. Notice of any regular or special meeting of any committee may be waived in writing or by electronic transmission at any time before or after the meeting and will be waived by any director by attendance thereat, except when the director</w:t>
      </w:r>
    </w:p>
    <w:p>
      <w:pPr>
        <w:spacing w:after="0" w:line="224" w:lineRule="auto"/>
        <w:rPr>
          <w:sz w:val="20"/>
          <w:szCs w:val="20"/>
          <w:color w:val="auto"/>
        </w:rPr>
      </w:pPr>
      <w:r>
        <w:rPr>
          <w:rFonts w:ascii="Arial" w:cs="Arial" w:eastAsia="Arial" w:hAnsi="Arial"/>
          <w:sz w:val="19"/>
          <w:szCs w:val="19"/>
          <w:color w:val="auto"/>
        </w:rPr>
        <w:t>attends such regular or special meeting for the express purpose of objecting, at the beginning of the meeting, to the transaction of any</w:t>
      </w:r>
    </w:p>
    <w:p>
      <w:pPr>
        <w:spacing w:after="0" w:line="226" w:lineRule="auto"/>
        <w:rPr>
          <w:sz w:val="20"/>
          <w:szCs w:val="20"/>
          <w:color w:val="auto"/>
        </w:rPr>
      </w:pPr>
      <w:r>
        <w:rPr>
          <w:rFonts w:ascii="Arial" w:cs="Arial" w:eastAsia="Arial" w:hAnsi="Arial"/>
          <w:sz w:val="18"/>
          <w:szCs w:val="18"/>
          <w:color w:val="auto"/>
        </w:rPr>
        <w:t>business because the meeting is not lawfully called or convened. Unless otherwise provided by the Board of Directors in the resolutions authorizing the creation of the committee, a majority of the authorized number of members of any such committee shall constitute a quorum</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for the transaction of business, and the act of a majority of those present at any meeting at which a quorum is present shall be the act of such committee.</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Section 27. Duties of Chairperson of the Board of Directors. </w:t>
      </w:r>
      <w:r>
        <w:rPr>
          <w:rFonts w:ascii="Arial" w:cs="Arial" w:eastAsia="Arial" w:hAnsi="Arial"/>
          <w:sz w:val="18"/>
          <w:szCs w:val="18"/>
          <w:color w:val="auto"/>
        </w:rPr>
        <w:t>The Chairperson of the Board of Directors, if appointed and when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preside at all meetings of the stockholders and the Board of Directors. The Chairperson of the Board of Directors shall perform other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duties commonly incident to the office and shall also perform such other duties and have such other powers, as the Board of Directors shall designate from time to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Lead Independent Director</w:t>
      </w:r>
      <w:r>
        <w:rPr>
          <w:rFonts w:ascii="Arial" w:cs="Arial" w:eastAsia="Arial" w:hAnsi="Arial"/>
          <w:sz w:val="18"/>
          <w:szCs w:val="18"/>
          <w:color w:val="auto"/>
        </w:rPr>
        <w:t>. The Chairperson of the Board of Directors, or if the Chairperson is not an independent director,</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one of the independent directors, may be designated by the Board of Directors as lead independent director to serve until replaced by the Board of Directors (“</w:t>
      </w:r>
      <w:r>
        <w:rPr>
          <w:rFonts w:ascii="Arial" w:cs="Arial" w:eastAsia="Arial" w:hAnsi="Arial"/>
          <w:sz w:val="18"/>
          <w:szCs w:val="18"/>
          <w:b w:val="1"/>
          <w:bCs w:val="1"/>
          <w:i w:val="1"/>
          <w:iCs w:val="1"/>
          <w:color w:val="auto"/>
        </w:rPr>
        <w:t>Lead Independent Director</w:t>
      </w:r>
      <w:r>
        <w:rPr>
          <w:rFonts w:ascii="Arial" w:cs="Arial" w:eastAsia="Arial" w:hAnsi="Arial"/>
          <w:sz w:val="18"/>
          <w:szCs w:val="18"/>
          <w:color w:val="auto"/>
        </w:rPr>
        <w:t>”). If appointed, the Lead Independent Director will: with the Chairperson of the Board of</w:t>
      </w:r>
    </w:p>
    <w:p>
      <w:pPr>
        <w:spacing w:after="0" w:line="236" w:lineRule="auto"/>
        <w:rPr>
          <w:sz w:val="20"/>
          <w:szCs w:val="20"/>
          <w:color w:val="auto"/>
        </w:rPr>
      </w:pPr>
      <w:r>
        <w:rPr>
          <w:rFonts w:ascii="Arial" w:cs="Arial" w:eastAsia="Arial" w:hAnsi="Arial"/>
          <w:sz w:val="18"/>
          <w:szCs w:val="18"/>
          <w:color w:val="auto"/>
        </w:rPr>
        <w:t>Directors, establish the agenda for regular Board meetings and serve as chairperson of Board of Directors meetings in the absence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Chairperson of the Board of Directors; establish the agenda for meetings of the independent directors; coordinate with the committee chairs regarding meeting agendas and informational requirements; preside over meetings of the independent directors; preside over any portions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meetings of the Board of Directors at which the evaluation or compensation of the Chief Executive Officer is presented or discussed; preside over any portions of meetings of the Board of Directors at which the performance of the Board of Directors is presented or discussed;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perform such other duties as may be established or delegated by the Chairperson of the Board of Directors.</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Section 29. Organization. </w:t>
      </w:r>
      <w:r>
        <w:rPr>
          <w:rFonts w:ascii="Arial" w:cs="Arial" w:eastAsia="Arial" w:hAnsi="Arial"/>
          <w:sz w:val="18"/>
          <w:szCs w:val="18"/>
          <w:color w:val="auto"/>
        </w:rPr>
        <w:t>At every meeting of the directors, the Chairperson of the Board of Directors, or, if a Chairperson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or is absent, the Chief Executive Officer (if a director), or, if a Chief Executive Officer is absent, the President (if a director), or if</w:t>
      </w:r>
    </w:p>
    <w:p>
      <w:pPr>
        <w:spacing w:after="0" w:line="236" w:lineRule="auto"/>
        <w:rPr>
          <w:sz w:val="20"/>
          <w:szCs w:val="20"/>
          <w:color w:val="auto"/>
        </w:rPr>
      </w:pPr>
      <w:r>
        <w:rPr>
          <w:rFonts w:ascii="Arial" w:cs="Arial" w:eastAsia="Arial" w:hAnsi="Arial"/>
          <w:sz w:val="18"/>
          <w:szCs w:val="18"/>
          <w:color w:val="auto"/>
        </w:rPr>
        <w:t>the President is absent, the most senior Vice President (if a director), or, in the absence of any such person, a Chairperson of the meeting</w:t>
      </w:r>
    </w:p>
    <w:p>
      <w:pPr>
        <w:spacing w:after="0" w:line="250" w:lineRule="auto"/>
        <w:rPr>
          <w:sz w:val="20"/>
          <w:szCs w:val="20"/>
          <w:color w:val="auto"/>
        </w:rPr>
      </w:pPr>
      <w:r>
        <w:rPr>
          <w:rFonts w:ascii="Arial" w:cs="Arial" w:eastAsia="Arial" w:hAnsi="Arial"/>
          <w:sz w:val="18"/>
          <w:szCs w:val="18"/>
          <w:color w:val="auto"/>
        </w:rPr>
        <w:t>chosen by a majority of the directors present, shall preside over the meeting. The Secretary, or in his absence, any Assistant Secretary or other officer, director or other person directed to do so by the person presiding over the meeting, shall act as secretary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168" w:name="page169"/>
    <w:bookmarkEnd w:id="168"/>
    <w:p>
      <w:pPr>
        <w:ind w:left="5080"/>
        <w:spacing w:after="0"/>
        <w:rPr>
          <w:sz w:val="20"/>
          <w:szCs w:val="20"/>
          <w:color w:val="auto"/>
        </w:rPr>
      </w:pPr>
      <w:r>
        <w:rPr>
          <w:rFonts w:ascii="Arial" w:cs="Arial" w:eastAsia="Arial" w:hAnsi="Arial"/>
          <w:sz w:val="20"/>
          <w:szCs w:val="20"/>
          <w:b w:val="1"/>
          <w:bCs w:val="1"/>
          <w:color w:val="auto"/>
        </w:rPr>
        <w:t>ARTICLE V</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30. Officers Designated. </w:t>
      </w:r>
      <w:r>
        <w:rPr>
          <w:rFonts w:ascii="Arial" w:cs="Arial" w:eastAsia="Arial" w:hAnsi="Arial"/>
          <w:sz w:val="18"/>
          <w:szCs w:val="18"/>
          <w:color w:val="auto"/>
        </w:rPr>
        <w:t>The officers of the corporation shall include, if and when designated by the Board of Directors, the Chief</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w:t>
      </w:r>
    </w:p>
    <w:p>
      <w:pPr>
        <w:spacing w:after="0" w:line="236" w:lineRule="auto"/>
        <w:rPr>
          <w:sz w:val="20"/>
          <w:szCs w:val="20"/>
          <w:color w:val="auto"/>
        </w:rPr>
      </w:pPr>
      <w:r>
        <w:rPr>
          <w:rFonts w:ascii="Arial" w:cs="Arial" w:eastAsia="Arial" w:hAnsi="Arial"/>
          <w:sz w:val="18"/>
          <w:szCs w:val="18"/>
          <w:color w:val="auto"/>
        </w:rPr>
        <w:t>and duties as it shall deem necessary. The Board of Directors may assign such additional titles to one or more of the officers as it shall deem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appropriate. Any one person may hold any number of offices of the corporation at any one time unless specifically prohibited therefrom by law. The salaries and other compensation of the officers of the corporation shall be fixed by or in the manner designated by the Board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Directors or a committee thereof to which the Board of Directors has delegated such responsibility.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31. Tenure and Duties of Officers.</w:t>
      </w:r>
    </w:p>
    <w:p>
      <w:pPr>
        <w:spacing w:after="0" w:line="175" w:lineRule="exact"/>
        <w:rPr>
          <w:sz w:val="20"/>
          <w:szCs w:val="20"/>
          <w:color w:val="auto"/>
        </w:rPr>
      </w:pPr>
    </w:p>
    <w:p>
      <w:pPr>
        <w:jc w:val="both"/>
        <w:ind w:firstLine="980"/>
        <w:spacing w:after="0" w:line="230" w:lineRule="auto"/>
        <w:tabs>
          <w:tab w:leader="none" w:pos="1284"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All officers shall hold office at the pleasure of the Board of Directors and until their successors shall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duly elected and qualified, unless sooner removed. If the office of any officer becomes vacant for any reason, the vacancy may be filled by the Board of Directors.</w:t>
      </w:r>
    </w:p>
    <w:p>
      <w:pPr>
        <w:spacing w:after="0" w:line="148" w:lineRule="exact"/>
        <w:rPr>
          <w:rFonts w:ascii="Arial" w:cs="Arial" w:eastAsia="Arial" w:hAnsi="Arial"/>
          <w:sz w:val="20"/>
          <w:szCs w:val="20"/>
          <w:b w:val="1"/>
          <w:bCs w:val="1"/>
          <w:color w:val="auto"/>
        </w:rPr>
      </w:pPr>
    </w:p>
    <w:p>
      <w:pPr>
        <w:jc w:val="both"/>
        <w:ind w:firstLine="980"/>
        <w:spacing w:after="0" w:line="226" w:lineRule="auto"/>
        <w:tabs>
          <w:tab w:leader="none" w:pos="1295"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Chief Executive Officer. </w:t>
      </w:r>
      <w:r>
        <w:rPr>
          <w:rFonts w:ascii="Arial" w:cs="Arial" w:eastAsia="Arial" w:hAnsi="Arial"/>
          <w:sz w:val="19"/>
          <w:szCs w:val="19"/>
          <w:color w:val="auto"/>
        </w:rPr>
        <w:t>The Chief Executive Officer shall preside at all meetings of the stockholders and at all</w:t>
      </w:r>
      <w:r>
        <w:rPr>
          <w:rFonts w:ascii="Arial" w:cs="Arial" w:eastAsia="Arial" w:hAnsi="Arial"/>
          <w:sz w:val="19"/>
          <w:szCs w:val="19"/>
          <w:b w:val="1"/>
          <w:bCs w:val="1"/>
          <w:color w:val="auto"/>
        </w:rPr>
        <w:t xml:space="preserve"> </w:t>
      </w:r>
      <w:r>
        <w:rPr>
          <w:rFonts w:ascii="Arial" w:cs="Arial" w:eastAsia="Arial" w:hAnsi="Arial"/>
          <w:sz w:val="19"/>
          <w:szCs w:val="19"/>
          <w:color w:val="auto"/>
        </w:rPr>
        <w:t>meetings of the Board of Directors (if a director), unless the Chairperson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49" w:lineRule="exact"/>
        <w:rPr>
          <w:rFonts w:ascii="Arial" w:cs="Arial" w:eastAsia="Arial" w:hAnsi="Arial"/>
          <w:sz w:val="19"/>
          <w:szCs w:val="19"/>
          <w:b w:val="1"/>
          <w:bCs w:val="1"/>
          <w:color w:val="auto"/>
        </w:rPr>
      </w:pPr>
    </w:p>
    <w:p>
      <w:pPr>
        <w:jc w:val="both"/>
        <w:ind w:firstLine="980"/>
        <w:spacing w:after="0" w:line="214" w:lineRule="auto"/>
        <w:tabs>
          <w:tab w:leader="none" w:pos="1286"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of President. </w:t>
      </w:r>
      <w:r>
        <w:rPr>
          <w:rFonts w:ascii="Arial" w:cs="Arial" w:eastAsia="Arial" w:hAnsi="Arial"/>
          <w:sz w:val="20"/>
          <w:szCs w:val="20"/>
          <w:color w:val="auto"/>
        </w:rPr>
        <w:t>The President shall preside at all meetings of the stockholders and at all meetings of the Board of</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(if a director), unless the Chairperson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68" w:lineRule="exact"/>
        <w:rPr>
          <w:rFonts w:ascii="Arial" w:cs="Arial" w:eastAsia="Arial" w:hAnsi="Arial"/>
          <w:sz w:val="20"/>
          <w:szCs w:val="20"/>
          <w:b w:val="1"/>
          <w:bCs w:val="1"/>
          <w:color w:val="auto"/>
        </w:rPr>
      </w:pPr>
    </w:p>
    <w:p>
      <w:pPr>
        <w:jc w:val="both"/>
        <w:ind w:firstLine="980"/>
        <w:spacing w:after="0" w:line="216" w:lineRule="auto"/>
        <w:tabs>
          <w:tab w:leader="none" w:pos="1295"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of Vice Presidents. </w:t>
      </w:r>
      <w:r>
        <w:rPr>
          <w:rFonts w:ascii="Arial" w:cs="Arial" w:eastAsia="Arial" w:hAnsi="Arial"/>
          <w:sz w:val="20"/>
          <w:szCs w:val="20"/>
          <w:color w:val="auto"/>
        </w:rPr>
        <w:t>A Vice President may assume and perform the duties of the President in the absence or disability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President or whenever the office of President is vacant (unless the duties of the President are being filled by the Chief Executive Officer). A Vice President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66" w:lineRule="exact"/>
        <w:rPr>
          <w:rFonts w:ascii="Arial" w:cs="Arial" w:eastAsia="Arial" w:hAnsi="Arial"/>
          <w:sz w:val="20"/>
          <w:szCs w:val="20"/>
          <w:b w:val="1"/>
          <w:bCs w:val="1"/>
          <w:color w:val="auto"/>
        </w:rPr>
      </w:pPr>
    </w:p>
    <w:p>
      <w:pPr>
        <w:jc w:val="both"/>
        <w:ind w:firstLine="980"/>
        <w:spacing w:after="0" w:line="239" w:lineRule="auto"/>
        <w:tabs>
          <w:tab w:leader="none" w:pos="1286"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Secretary. </w:t>
      </w:r>
      <w:r>
        <w:rPr>
          <w:rFonts w:ascii="Arial" w:cs="Arial" w:eastAsia="Arial" w:hAnsi="Arial"/>
          <w:sz w:val="18"/>
          <w:szCs w:val="18"/>
          <w:color w:val="auto"/>
        </w:rPr>
        <w:t>The Secretary shall attend all meetings of the stockholders and of the Board of Directors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or if no Chief Executive Officer is then serving, the President may direct any Assistant Secretary or other officer to assume and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399"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the duties of the Secretary in the absence or disability of the Secretary, and each Assistant Secretary shall perform other duties commonly</w:t>
      </w:r>
    </w:p>
    <w:p>
      <w:pPr>
        <w:spacing w:after="0" w:line="12"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64" w:lineRule="exact"/>
        <w:rPr>
          <w:sz w:val="20"/>
          <w:szCs w:val="20"/>
          <w:color w:val="auto"/>
        </w:rPr>
      </w:pPr>
    </w:p>
    <w:p>
      <w:pPr>
        <w:jc w:val="both"/>
        <w:ind w:firstLine="980"/>
        <w:spacing w:after="0" w:line="222" w:lineRule="auto"/>
        <w:tabs>
          <w:tab w:leader="none" w:pos="1291"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Chief Financial Officer. </w:t>
      </w:r>
      <w:r>
        <w:rPr>
          <w:rFonts w:ascii="Arial" w:cs="Arial" w:eastAsia="Arial" w:hAnsi="Arial"/>
          <w:sz w:val="19"/>
          <w:szCs w:val="19"/>
          <w:color w:val="auto"/>
        </w:rPr>
        <w:t>The Chief Financial Officer shall keep or cause to be kept the books of account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in a thorough and proper manner and shall render statements of the financial affairs of the corporation in such form and as often as required by the Board of Directors or the Chief Executive Officer, or if no Chief Executive Officer is then serving,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67" w:lineRule="exact"/>
        <w:rPr>
          <w:rFonts w:ascii="Arial" w:cs="Arial" w:eastAsia="Arial" w:hAnsi="Arial"/>
          <w:sz w:val="19"/>
          <w:szCs w:val="19"/>
          <w:b w:val="1"/>
          <w:bCs w:val="1"/>
          <w:color w:val="auto"/>
        </w:rPr>
      </w:pPr>
    </w:p>
    <w:p>
      <w:pPr>
        <w:jc w:val="both"/>
        <w:ind w:firstLine="980"/>
        <w:spacing w:after="0" w:line="271" w:lineRule="auto"/>
        <w:tabs>
          <w:tab w:leader="none" w:pos="1284"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Duties of Treasurer. </w:t>
      </w:r>
      <w:r>
        <w:rPr>
          <w:rFonts w:ascii="Arial" w:cs="Arial" w:eastAsia="Arial" w:hAnsi="Arial"/>
          <w:sz w:val="16"/>
          <w:szCs w:val="16"/>
          <w:color w:val="auto"/>
        </w:rPr>
        <w:t>Unless another officer has been appointed Chief Financial Officer of the corporation, the 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Chief Executive Officer, or if no Chief Executive Officer is then serving,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Chief Executive Officer, or if no Chief Executive Officer is then serving, the President and Chief Financial Officer (if not Treasurer) shall designate from time to time.</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 xml:space="preserve">Section 32. Delegation of Authority. </w:t>
      </w:r>
      <w:r>
        <w:rPr>
          <w:rFonts w:ascii="Arial" w:cs="Arial" w:eastAsia="Arial" w:hAnsi="Arial"/>
          <w:sz w:val="20"/>
          <w:szCs w:val="20"/>
          <w:color w:val="auto"/>
        </w:rPr>
        <w:t>The Board of Directors may from time to time delegate the powers or duties of any officer to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or agent, notwithstanding any provision hereof.</w:t>
      </w:r>
    </w:p>
    <w:p>
      <w:pPr>
        <w:spacing w:after="0" w:line="149"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Section 33. Resignations. </w:t>
      </w:r>
      <w:r>
        <w:rPr>
          <w:rFonts w:ascii="Arial" w:cs="Arial" w:eastAsia="Arial" w:hAnsi="Arial"/>
          <w:sz w:val="18"/>
          <w:szCs w:val="18"/>
          <w:color w:val="auto"/>
        </w:rPr>
        <w:t>Any officer may resign at any time by giving notice in writing or by electronic transmission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Chief Executive Officer, or if no Chief Executive Officer is then serving, to the President or to the Secretary. Any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resignation shall not be necessary to make it effective. Any resignation shall be without prejudice to the rights, if any, of the corporation under any contract with the resigning officer.</w:t>
      </w:r>
    </w:p>
    <w:p>
      <w:pPr>
        <w:spacing w:after="0" w:line="150" w:lineRule="exact"/>
        <w:rPr>
          <w:sz w:val="20"/>
          <w:szCs w:val="20"/>
          <w:color w:val="auto"/>
        </w:rPr>
      </w:pPr>
    </w:p>
    <w:p>
      <w:pPr>
        <w:spacing w:after="0" w:line="264" w:lineRule="auto"/>
        <w:rPr>
          <w:sz w:val="20"/>
          <w:szCs w:val="20"/>
          <w:color w:val="auto"/>
        </w:rPr>
      </w:pPr>
      <w:r>
        <w:rPr>
          <w:rFonts w:ascii="Arial" w:cs="Arial" w:eastAsia="Arial" w:hAnsi="Arial"/>
          <w:sz w:val="19"/>
          <w:szCs w:val="19"/>
          <w:b w:val="1"/>
          <w:bCs w:val="1"/>
          <w:color w:val="auto"/>
        </w:rPr>
        <w:t xml:space="preserve">Section 34. Removal. </w:t>
      </w:r>
      <w:r>
        <w:rPr>
          <w:rFonts w:ascii="Arial" w:cs="Arial" w:eastAsia="Arial" w:hAnsi="Arial"/>
          <w:sz w:val="19"/>
          <w:szCs w:val="19"/>
          <w:color w:val="auto"/>
        </w:rPr>
        <w:t>Any officer may be removed from office at any time, either with or without cause, by the Board of Directors, or by</w:t>
      </w:r>
      <w:r>
        <w:rPr>
          <w:rFonts w:ascii="Arial" w:cs="Arial" w:eastAsia="Arial" w:hAnsi="Arial"/>
          <w:sz w:val="19"/>
          <w:szCs w:val="19"/>
          <w:b w:val="1"/>
          <w:bCs w:val="1"/>
          <w:color w:val="auto"/>
        </w:rPr>
        <w:t xml:space="preserve"> </w:t>
      </w:r>
      <w:r>
        <w:rPr>
          <w:rFonts w:ascii="Arial" w:cs="Arial" w:eastAsia="Arial" w:hAnsi="Arial"/>
          <w:sz w:val="19"/>
          <w:szCs w:val="19"/>
          <w:color w:val="auto"/>
        </w:rPr>
        <w:t>any committee or superior officer upon whom such power of removal may have been conferred by the Board of Directors.</w:t>
      </w:r>
    </w:p>
    <w:p>
      <w:pPr>
        <w:spacing w:after="0" w:line="14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VI</w:t>
      </w:r>
    </w:p>
    <w:p>
      <w:pPr>
        <w:spacing w:after="0" w:line="143"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EXECUTION OF CORPORATE INSTRUMENTS AND VOTING</w:t>
      </w:r>
    </w:p>
    <w:p>
      <w:pPr>
        <w:jc w:val="center"/>
        <w:spacing w:after="0"/>
        <w:rPr>
          <w:sz w:val="20"/>
          <w:szCs w:val="20"/>
          <w:color w:val="auto"/>
        </w:rPr>
      </w:pPr>
      <w:r>
        <w:rPr>
          <w:rFonts w:ascii="Arial" w:cs="Arial" w:eastAsia="Arial" w:hAnsi="Arial"/>
          <w:sz w:val="20"/>
          <w:szCs w:val="20"/>
          <w:b w:val="1"/>
          <w:bCs w:val="1"/>
          <w:color w:val="auto"/>
        </w:rPr>
        <w:t>OF SECURITIES OWNED BY THE CORPORATION</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Section 35. Execution of Corporate Instruments. </w:t>
      </w:r>
      <w:r>
        <w:rPr>
          <w:rFonts w:ascii="Arial" w:cs="Arial" w:eastAsia="Arial" w:hAnsi="Arial"/>
          <w:sz w:val="18"/>
          <w:szCs w:val="18"/>
          <w:color w:val="auto"/>
        </w:rPr>
        <w:t>The Board of Directors may, in its discretion, determine the method and designate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officer or officers, or other person or persons, to execute on behalf of the corporation any corporate instrument or document, or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sign on behalf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corporation the corporate name without limitation, or to enter into contracts on behalf of the corporation, except where otherwise provided by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law or these Bylaws, and such execution or signature shall be binding upon the corporation. All checks and drafts drawn on banks or other depositaries on funds to the credit of the corporation or in special accounts of the corporation shall be signed by such person or</w:t>
      </w:r>
    </w:p>
    <w:p>
      <w:pPr>
        <w:spacing w:after="0" w:line="236" w:lineRule="auto"/>
        <w:rPr>
          <w:sz w:val="20"/>
          <w:szCs w:val="20"/>
          <w:color w:val="auto"/>
        </w:rPr>
      </w:pPr>
      <w:r>
        <w:rPr>
          <w:rFonts w:ascii="Arial" w:cs="Arial" w:eastAsia="Arial" w:hAnsi="Arial"/>
          <w:sz w:val="18"/>
          <w:szCs w:val="18"/>
          <w:color w:val="auto"/>
        </w:rPr>
        <w:t>persons as the Board of Directors shall authorize so to do. Unless authorized or ratified by the Board of Directors or within the agency power</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of an officer, no officer, agent or employee shall have any power or authority to bind the corporation by any contract or engagement or to pledge its credit or to render it liable for any purpose or for any amount.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36. Voting of Securities Owned by the Corporation. </w:t>
      </w:r>
      <w:r>
        <w:rPr>
          <w:rFonts w:ascii="Arial" w:cs="Arial" w:eastAsia="Arial" w:hAnsi="Arial"/>
          <w:sz w:val="18"/>
          <w:szCs w:val="18"/>
          <w:color w:val="auto"/>
        </w:rPr>
        <w:t>All stock and other securities and interests of other corporations and entities</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owned or held by the corporation for itself, or for other parties in any capacity, shall be voted, and all proxies with respect thereto shall be executed, by the person authorized so to do by resolution of the Board of Directors, or, in the absence of such authorization,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Chairperson of the Board of Directors, the Chief Executive Officer, the President, or any Vice President.</w:t>
      </w:r>
    </w:p>
    <w:p>
      <w:pPr>
        <w:spacing w:after="0" w:line="167"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ARTICLE VII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 OF STOCK</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color w:val="auto"/>
        </w:rPr>
        <w:t xml:space="preserve">Section 37. Form and Execution of Certificates. </w:t>
      </w:r>
      <w:r>
        <w:rPr>
          <w:rFonts w:ascii="Arial" w:cs="Arial" w:eastAsia="Arial" w:hAnsi="Arial"/>
          <w:sz w:val="16"/>
          <w:szCs w:val="16"/>
          <w:color w:val="auto"/>
        </w:rPr>
        <w:t>The shares of the corporation shall be represented by certificates, or shall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if so provided by resolution or resolutions of the Board of Directors. Certificates for the shares of stock, if any, shall be in such form as is</w:t>
      </w:r>
    </w:p>
    <w:p>
      <w:pPr>
        <w:spacing w:after="0" w:line="236" w:lineRule="auto"/>
        <w:rPr>
          <w:sz w:val="20"/>
          <w:szCs w:val="20"/>
          <w:color w:val="auto"/>
        </w:rPr>
      </w:pPr>
      <w:r>
        <w:rPr>
          <w:rFonts w:ascii="Arial" w:cs="Arial" w:eastAsia="Arial" w:hAnsi="Arial"/>
          <w:sz w:val="18"/>
          <w:szCs w:val="18"/>
          <w:color w:val="auto"/>
        </w:rPr>
        <w:t>consistent with the Certificate of Incorporation and applicable law. Every holder of stock in the corporation represented by certificates shall</w:t>
      </w:r>
    </w:p>
    <w:p>
      <w:pPr>
        <w:spacing w:after="0" w:line="226" w:lineRule="auto"/>
        <w:rPr>
          <w:sz w:val="20"/>
          <w:szCs w:val="20"/>
          <w:color w:val="auto"/>
        </w:rPr>
      </w:pPr>
      <w:r>
        <w:rPr>
          <w:rFonts w:ascii="Arial" w:cs="Arial" w:eastAsia="Arial" w:hAnsi="Arial"/>
          <w:sz w:val="18"/>
          <w:szCs w:val="18"/>
          <w:color w:val="auto"/>
        </w:rPr>
        <w:t>be entitled to have a certificate signed by, or in the name of, the corporation by any two authorized officers of the corporation, certifying the number of shares owned by such holder in the corporation. Any or all of the signatures on the certificate may be facsimiles. In case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officer, transfer agent, or registrar who has signed or whose facsimile signature has been placed upon a certificate shall have ceased to be such officer, transfer agent, or registrar before such certificate is issued, it may be issued with the same effect as if he were such officer,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transfer agent, or registrar at the date of issue.</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Section 38. Lost Certificates. </w:t>
      </w:r>
      <w:r>
        <w:rPr>
          <w:rFonts w:ascii="Arial" w:cs="Arial" w:eastAsia="Arial" w:hAnsi="Arial"/>
          <w:sz w:val="18"/>
          <w:szCs w:val="18"/>
          <w:color w:val="auto"/>
        </w:rPr>
        <w:t>A new certificate or certificates shall be issued in place of any certificate or certificates theretofore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alleged to have been lost, stolen, or destroyed, upon the making of an affidavit of that fact by the person claiming the</w:t>
      </w:r>
    </w:p>
    <w:p>
      <w:pPr>
        <w:spacing w:after="0" w:line="236" w:lineRule="auto"/>
        <w:rPr>
          <w:sz w:val="20"/>
          <w:szCs w:val="20"/>
          <w:color w:val="auto"/>
        </w:rPr>
      </w:pPr>
      <w:r>
        <w:rPr>
          <w:rFonts w:ascii="Arial" w:cs="Arial" w:eastAsia="Arial" w:hAnsi="Arial"/>
          <w:sz w:val="18"/>
          <w:szCs w:val="18"/>
          <w:color w:val="auto"/>
        </w:rPr>
        <w:t>certificate of stock to be lost, stolen, or destroyed. The corporation may require, as a condition precedent to the issuance of a new certificate</w:t>
      </w:r>
    </w:p>
    <w:p>
      <w:pPr>
        <w:spacing w:after="0" w:line="226" w:lineRule="auto"/>
        <w:rPr>
          <w:sz w:val="20"/>
          <w:szCs w:val="20"/>
          <w:color w:val="auto"/>
        </w:rPr>
      </w:pPr>
      <w:r>
        <w:rPr>
          <w:rFonts w:ascii="Arial" w:cs="Arial" w:eastAsia="Arial" w:hAnsi="Arial"/>
          <w:sz w:val="18"/>
          <w:szCs w:val="18"/>
          <w:color w:val="auto"/>
        </w:rPr>
        <w:t>or certificates, the owner of such lost, stolen, or destroyed certificate or certificates, or the owner’s legal representative, to agree to indemnify the corporation in such manner as it shall require or to give the corporation a surety bond in such form and amount as it may direct as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indemnity against any claim that may be made against the corporation with respect to the certificate alleged to have been lost, stolen, or destroyed.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39. Transfers.</w:t>
      </w:r>
    </w:p>
    <w:p>
      <w:pPr>
        <w:spacing w:after="0" w:line="195" w:lineRule="exact"/>
        <w:rPr>
          <w:sz w:val="20"/>
          <w:szCs w:val="20"/>
          <w:color w:val="auto"/>
        </w:rPr>
      </w:pPr>
    </w:p>
    <w:p>
      <w:pPr>
        <w:jc w:val="both"/>
        <w:ind w:firstLine="980"/>
        <w:spacing w:after="0" w:line="223" w:lineRule="auto"/>
        <w:tabs>
          <w:tab w:leader="none" w:pos="1284"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68" w:lineRule="exact"/>
        <w:rPr>
          <w:rFonts w:ascii="Arial" w:cs="Arial" w:eastAsia="Arial" w:hAnsi="Arial"/>
          <w:sz w:val="20"/>
          <w:szCs w:val="20"/>
          <w:b w:val="1"/>
          <w:bCs w:val="1"/>
          <w:color w:val="auto"/>
        </w:rPr>
      </w:pPr>
    </w:p>
    <w:p>
      <w:pPr>
        <w:jc w:val="both"/>
        <w:ind w:firstLine="980"/>
        <w:spacing w:after="0" w:line="223" w:lineRule="auto"/>
        <w:tabs>
          <w:tab w:leader="none" w:pos="1295"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40. Fixing Record Dates.</w:t>
      </w:r>
    </w:p>
    <w:p>
      <w:pPr>
        <w:spacing w:after="0" w:line="195" w:lineRule="exact"/>
        <w:rPr>
          <w:sz w:val="20"/>
          <w:szCs w:val="20"/>
          <w:color w:val="auto"/>
        </w:rPr>
      </w:pPr>
    </w:p>
    <w:p>
      <w:pPr>
        <w:jc w:val="both"/>
        <w:ind w:firstLine="980"/>
        <w:spacing w:after="0" w:line="223" w:lineRule="auto"/>
        <w:tabs>
          <w:tab w:leader="none" w:pos="1284" w:val="left"/>
        </w:tabs>
        <w:numPr>
          <w:ilvl w:val="0"/>
          <w:numId w:val="69"/>
        </w:numPr>
        <w:rPr>
          <w:rFonts w:ascii="Arial" w:cs="Arial" w:eastAsia="Arial" w:hAnsi="Arial"/>
          <w:sz w:val="20"/>
          <w:szCs w:val="20"/>
          <w:b w:val="1"/>
          <w:bCs w:val="1"/>
          <w:color w:val="auto"/>
        </w:rPr>
      </w:pPr>
      <w:r>
        <w:rPr>
          <w:rFonts w:ascii="Arial" w:cs="Arial" w:eastAsia="Arial" w:hAnsi="Arial"/>
          <w:sz w:val="20"/>
          <w:szCs w:val="20"/>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5"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Board of Directors, and which record date shall, subject to applicable law, not be more than 60 nor fewer than ten days before the date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w:t>
      </w:r>
    </w:p>
    <w:p>
      <w:pPr>
        <w:spacing w:after="0" w:line="224" w:lineRule="auto"/>
        <w:rPr>
          <w:sz w:val="20"/>
          <w:szCs w:val="20"/>
          <w:color w:val="auto"/>
        </w:rPr>
      </w:pPr>
      <w:r>
        <w:rPr>
          <w:rFonts w:ascii="Arial" w:cs="Arial" w:eastAsia="Arial" w:hAnsi="Arial"/>
          <w:sz w:val="19"/>
          <w:szCs w:val="19"/>
          <w:color w:val="auto"/>
        </w:rPr>
        <w:t>the meeting shall be the date for making such determination. If no record date is fixed by the Board of Directors, the record date for</w:t>
      </w:r>
    </w:p>
    <w:p>
      <w:pPr>
        <w:spacing w:after="0" w:line="226" w:lineRule="auto"/>
        <w:rPr>
          <w:sz w:val="20"/>
          <w:szCs w:val="20"/>
          <w:color w:val="auto"/>
        </w:rPr>
      </w:pPr>
      <w:r>
        <w:rPr>
          <w:rFonts w:ascii="Arial" w:cs="Arial" w:eastAsia="Arial" w:hAnsi="Arial"/>
          <w:sz w:val="18"/>
          <w:szCs w:val="18"/>
          <w:color w:val="auto"/>
        </w:rPr>
        <w:t>determining stockholders entitled to notice of or to vote at a meeting of stockholders shall be at the close of business on the day next preceding the day on which notice is given, or if notice is waived, at the close of business on the day next preceding the day on which the</w:t>
      </w:r>
    </w:p>
    <w:p>
      <w:pPr>
        <w:spacing w:after="0" w:line="236" w:lineRule="auto"/>
        <w:rPr>
          <w:sz w:val="20"/>
          <w:szCs w:val="20"/>
          <w:color w:val="auto"/>
        </w:rPr>
      </w:pPr>
      <w:r>
        <w:rPr>
          <w:rFonts w:ascii="Arial" w:cs="Arial" w:eastAsia="Arial" w:hAnsi="Arial"/>
          <w:sz w:val="18"/>
          <w:szCs w:val="18"/>
          <w:color w:val="auto"/>
        </w:rPr>
        <w:t>meeting is held. A determination of stockholders of record entitled to notice of or to vote at a meeting of stockholders shall apply to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of Directors may fix a new record date for the adjourned meeting, and in such case shall also fix as the record date for stockholders entitled to notice of such adjourned meeting the same or an earlier date as that fixed for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determination of stockholders entitled to vote in accordance herewith at the adjourned meeting.</w:t>
      </w:r>
    </w:p>
    <w:p>
      <w:pPr>
        <w:spacing w:after="0" w:line="173" w:lineRule="exact"/>
        <w:rPr>
          <w:sz w:val="20"/>
          <w:szCs w:val="20"/>
          <w:color w:val="auto"/>
        </w:rPr>
      </w:pPr>
    </w:p>
    <w:p>
      <w:pPr>
        <w:jc w:val="both"/>
        <w:ind w:firstLine="980"/>
        <w:spacing w:after="0" w:line="226" w:lineRule="auto"/>
        <w:tabs>
          <w:tab w:leader="none" w:pos="1295" w:val="left"/>
        </w:tabs>
        <w:numPr>
          <w:ilvl w:val="0"/>
          <w:numId w:val="70"/>
        </w:numPr>
        <w:rPr>
          <w:rFonts w:ascii="Arial" w:cs="Arial" w:eastAsia="Arial" w:hAnsi="Arial"/>
          <w:sz w:val="19"/>
          <w:szCs w:val="19"/>
          <w:b w:val="1"/>
          <w:bCs w:val="1"/>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color w:val="auto"/>
        </w:rPr>
        <w:t xml:space="preserve">Section 41. Registered Stockholders. </w:t>
      </w:r>
      <w:r>
        <w:rPr>
          <w:rFonts w:ascii="Arial" w:cs="Arial" w:eastAsia="Arial" w:hAnsi="Arial"/>
          <w:sz w:val="16"/>
          <w:szCs w:val="16"/>
          <w:color w:val="auto"/>
        </w:rPr>
        <w:t>The corporation shall be entitled to recognize the exclusive right of a person registered on its books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owner of shares to receive dividends, and to vote as such owner, and shall not be bound to recognize any equitable or other claim to 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interest in such share or shares on the part of any other person whether or not it shall have express or other notice thereof, except as otherwise provided by the laws of Delaware.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SECURITIES OF THE CORPORATION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42. Execution of Other Securities. </w:t>
      </w:r>
      <w:r>
        <w:rPr>
          <w:rFonts w:ascii="Arial" w:cs="Arial" w:eastAsia="Arial" w:hAnsi="Arial"/>
          <w:sz w:val="19"/>
          <w:szCs w:val="19"/>
          <w:color w:val="auto"/>
        </w:rPr>
        <w:t>All bonds, debentures and other corporate securities of the corporation, other than stock</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certificates (covered in Section 37), may be signed by any executive officer (as defined in Article XI) or any other officer or person as may be authorized by the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where any such bond, debenture or other corporate security shall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authenticated by the manual signature, or where permissible facsimile signature, of a trustee under an indenture pursuant to which such bond,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debenture or other corporate security shall be issued, the signatures of the persons signing and attesting the corporate seal on such bond, debenture or other corporate security may be the imprinted facsimile of the signatures of such persons. Interest coupons appertaining to any</w:t>
      </w:r>
    </w:p>
    <w:p>
      <w:pPr>
        <w:spacing w:after="0" w:line="236" w:lineRule="auto"/>
        <w:rPr>
          <w:sz w:val="20"/>
          <w:szCs w:val="20"/>
          <w:color w:val="auto"/>
        </w:rPr>
      </w:pPr>
      <w:r>
        <w:rPr>
          <w:rFonts w:ascii="Arial" w:cs="Arial" w:eastAsia="Arial" w:hAnsi="Arial"/>
          <w:sz w:val="18"/>
          <w:szCs w:val="18"/>
          <w:color w:val="auto"/>
        </w:rPr>
        <w:t>such bond, debenture or other corporate security, authenticated by a trustee as aforesaid, shall be signed by an executive officer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corporation or such other officer or person as may be authorized by the Board of Directors, or bear imprinted thereon the facsimile signature of such person. In case any officer who shall have signed or attested any bond, debenture or other corporate security, or whose facsimile</w:t>
      </w:r>
    </w:p>
    <w:p>
      <w:pPr>
        <w:spacing w:after="0" w:line="236" w:lineRule="auto"/>
        <w:rPr>
          <w:sz w:val="20"/>
          <w:szCs w:val="20"/>
          <w:color w:val="auto"/>
        </w:rPr>
      </w:pPr>
      <w:r>
        <w:rPr>
          <w:rFonts w:ascii="Arial" w:cs="Arial" w:eastAsia="Arial" w:hAnsi="Arial"/>
          <w:sz w:val="18"/>
          <w:szCs w:val="18"/>
          <w:color w:val="auto"/>
        </w:rPr>
        <w:t>signature shall appear thereon or on any such interest coupon, shall have ceased to be such officer before the bond, debenture or other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corporate security so signed or attested shall have been delivered, such bond, debenture or other corporate security nevertheless may be adopted by the corporation and issued and delivered as though the person who signed the same or whose facsimile signature shall have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used thereon had not ceased to be such officer of the corporation.</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SECTION IX</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DIVIDENDS</w:t>
      </w:r>
    </w:p>
    <w:p>
      <w:pPr>
        <w:spacing w:after="0" w:line="18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Section 43. Declaration of Dividends. </w:t>
      </w:r>
      <w:r>
        <w:rPr>
          <w:rFonts w:ascii="Arial" w:cs="Arial" w:eastAsia="Arial" w:hAnsi="Arial"/>
          <w:sz w:val="20"/>
          <w:szCs w:val="20"/>
          <w:color w:val="auto"/>
        </w:rPr>
        <w:t>Dividends upon the capital stock of the corporation, subject to the provisions of the Certificate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Incorporation and applicable law, if any, may be declared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5" w:right="339" w:bottom="1440" w:gutter="0" w:footer="0" w:header="0"/>
        </w:sectPr>
      </w:pPr>
    </w:p>
    <w:bookmarkStart w:id="172" w:name="page173"/>
    <w:bookmarkEnd w:id="172"/>
    <w:p>
      <w:pPr>
        <w:spacing w:after="0" w:line="236" w:lineRule="auto"/>
        <w:rPr>
          <w:sz w:val="20"/>
          <w:szCs w:val="20"/>
          <w:color w:val="auto"/>
        </w:rPr>
      </w:pPr>
      <w:r>
        <w:rPr>
          <w:rFonts w:ascii="Arial" w:cs="Arial" w:eastAsia="Arial" w:hAnsi="Arial"/>
          <w:sz w:val="20"/>
          <w:szCs w:val="20"/>
          <w:color w:val="auto"/>
        </w:rPr>
        <w:t>Board of Directors. Dividends may be paid in cash, in property, or in shares of the corporation’s capital stock, subject to the provisions of the Certificate of Incorporation and applicable law.</w:t>
      </w:r>
    </w:p>
    <w:p>
      <w:pPr>
        <w:spacing w:after="0" w:line="149"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Section 44. Dividend Reserve. </w:t>
      </w:r>
      <w:r>
        <w:rPr>
          <w:rFonts w:ascii="Arial" w:cs="Arial" w:eastAsia="Arial" w:hAnsi="Arial"/>
          <w:sz w:val="18"/>
          <w:szCs w:val="18"/>
          <w:color w:val="auto"/>
        </w:rPr>
        <w:t>Before payment of any dividend, there may be set aside out of any funds of the corporation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such sum or sums as the Board of Directors from time to time, in its absolute discretion, thinks proper as a reserve or reserves to</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meet contingencies, or for equalizing dividends, or for repairing or maintaining any property of the corporation, or for such other purpose as the Board of Directors shall think conducive to the interests of the corporation, and the Board of Directors may modify or abolish any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reserve in the manner in which it was created.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FISCAL YEAR</w:t>
      </w:r>
    </w:p>
    <w:p>
      <w:pPr>
        <w:spacing w:after="0" w:line="18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Section 45. Fiscal Year. </w:t>
      </w:r>
      <w:r>
        <w:rPr>
          <w:rFonts w:ascii="Arial" w:cs="Arial" w:eastAsia="Arial" w:hAnsi="Arial"/>
          <w:sz w:val="20"/>
          <w:szCs w:val="20"/>
          <w:color w:val="auto"/>
        </w:rPr>
        <w:t>The fiscal year of the corporation shall end on December 31 or on such other date as may otherwise be fixed by</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of the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46. Indemnification of Directors, Executive Officers, Employees and Other Agents.</w:t>
      </w:r>
    </w:p>
    <w:p>
      <w:pPr>
        <w:spacing w:after="0" w:line="189" w:lineRule="exact"/>
        <w:rPr>
          <w:sz w:val="20"/>
          <w:szCs w:val="20"/>
          <w:color w:val="auto"/>
        </w:rPr>
      </w:pPr>
    </w:p>
    <w:p>
      <w:pPr>
        <w:jc w:val="both"/>
        <w:ind w:firstLine="980"/>
        <w:spacing w:after="0" w:line="262" w:lineRule="auto"/>
        <w:tabs>
          <w:tab w:leader="none" w:pos="1284" w:val="left"/>
        </w:tabs>
        <w:numPr>
          <w:ilvl w:val="1"/>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16"/>
          <w:szCs w:val="16"/>
          <w:color w:val="auto"/>
        </w:rPr>
        <w:t>The corporation shall indemnify its directors and executive officers (for the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Article XI, “</w:t>
      </w:r>
      <w:r>
        <w:rPr>
          <w:rFonts w:ascii="Arial" w:cs="Arial" w:eastAsia="Arial" w:hAnsi="Arial"/>
          <w:sz w:val="16"/>
          <w:szCs w:val="16"/>
          <w:b w:val="1"/>
          <w:bCs w:val="1"/>
          <w:i w:val="1"/>
          <w:iCs w:val="1"/>
          <w:color w:val="auto"/>
        </w:rPr>
        <w:t>executive officers</w:t>
      </w:r>
      <w:r>
        <w:rPr>
          <w:rFonts w:ascii="Arial" w:cs="Arial" w:eastAsia="Arial" w:hAnsi="Arial"/>
          <w:sz w:val="16"/>
          <w:szCs w:val="16"/>
          <w:color w:val="auto"/>
        </w:rPr>
        <w:t xml:space="preserve">” shall have the meaning defined in Rule 3b-7 promulgated under the 1934 Act) to the fullest extent permitted by the DGCL or any other applicable law as it presently exists or may hereafter be amended, who was or is made or is threatened to be made a party or is otherwise involved in proceeding, by reason of the fact that he or she, or a person for whom he or she is the legal representative, is or was a director or officer of the corporation, against all liability and loss suffered and expenses (including attorneys’ fees) reasonably incurred by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corporation may modify the extent of such indemnification by individual contracts with its directors and executive officers, in which case such contract shall supersede and replace the provisions 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w:t>
      </w:r>
    </w:p>
    <w:p>
      <w:pPr>
        <w:spacing w:after="0" w:line="186" w:lineRule="exact"/>
        <w:rPr>
          <w:rFonts w:ascii="Arial" w:cs="Arial" w:eastAsia="Arial" w:hAnsi="Arial"/>
          <w:sz w:val="16"/>
          <w:szCs w:val="16"/>
          <w:b w:val="1"/>
          <w:bCs w:val="1"/>
          <w:color w:val="auto"/>
        </w:rPr>
      </w:pPr>
    </w:p>
    <w:p>
      <w:pPr>
        <w:ind w:left="280" w:hanging="272"/>
        <w:spacing w:after="0"/>
        <w:tabs>
          <w:tab w:leader="none" w:pos="2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of this Section </w:t>
      </w:r>
      <w:r>
        <w:rPr>
          <w:rFonts w:ascii="Arial" w:cs="Arial" w:eastAsia="Arial" w:hAnsi="Arial"/>
          <w:sz w:val="20"/>
          <w:szCs w:val="20"/>
          <w:u w:val="single" w:color="auto"/>
          <w:color w:val="auto"/>
        </w:rPr>
        <w:t>46</w:t>
      </w:r>
      <w:r>
        <w:rPr>
          <w:rFonts w:ascii="Arial" w:cs="Arial" w:eastAsia="Arial" w:hAnsi="Arial"/>
          <w:sz w:val="20"/>
          <w:szCs w:val="20"/>
          <w:color w:val="auto"/>
        </w:rPr>
        <w:t>.</w:t>
      </w:r>
    </w:p>
    <w:p>
      <w:pPr>
        <w:spacing w:after="0" w:line="153" w:lineRule="exact"/>
        <w:rPr>
          <w:rFonts w:ascii="Arial" w:cs="Arial" w:eastAsia="Arial" w:hAnsi="Arial"/>
          <w:sz w:val="20"/>
          <w:szCs w:val="20"/>
          <w:color w:val="auto"/>
        </w:rPr>
      </w:pPr>
    </w:p>
    <w:p>
      <w:pPr>
        <w:jc w:val="both"/>
        <w:ind w:firstLine="980"/>
        <w:spacing w:after="0" w:line="248" w:lineRule="auto"/>
        <w:tabs>
          <w:tab w:leader="none" w:pos="1295"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Officers, Employees and Other Agents. </w:t>
      </w:r>
      <w:r>
        <w:rPr>
          <w:rFonts w:ascii="Arial" w:cs="Arial" w:eastAsia="Arial" w:hAnsi="Arial"/>
          <w:sz w:val="18"/>
          <w:szCs w:val="18"/>
          <w:color w:val="auto"/>
        </w:rPr>
        <w:t>The corporation shall have the power to indemnify (including the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advance expenses in a manner consistent with subsection (c) of this Section </w:t>
      </w:r>
      <w:r>
        <w:rPr>
          <w:rFonts w:ascii="Arial" w:cs="Arial" w:eastAsia="Arial" w:hAnsi="Arial"/>
          <w:sz w:val="18"/>
          <w:szCs w:val="18"/>
          <w:u w:val="single" w:color="auto"/>
          <w:color w:val="auto"/>
        </w:rPr>
        <w:t>46</w:t>
      </w:r>
      <w:r>
        <w:rPr>
          <w:rFonts w:ascii="Arial" w:cs="Arial" w:eastAsia="Arial" w:hAnsi="Arial"/>
          <w:sz w:val="18"/>
          <w:szCs w:val="18"/>
          <w:color w:val="auto"/>
        </w:rPr>
        <w:t>)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56" w:lineRule="exact"/>
        <w:rPr>
          <w:rFonts w:ascii="Arial" w:cs="Arial" w:eastAsia="Arial" w:hAnsi="Arial"/>
          <w:sz w:val="18"/>
          <w:szCs w:val="18"/>
          <w:b w:val="1"/>
          <w:bCs w:val="1"/>
          <w:color w:val="auto"/>
        </w:rPr>
      </w:pPr>
    </w:p>
    <w:p>
      <w:pPr>
        <w:jc w:val="both"/>
        <w:ind w:firstLine="980"/>
        <w:spacing w:after="0" w:line="212" w:lineRule="auto"/>
        <w:tabs>
          <w:tab w:leader="none" w:pos="1286" w:val="left"/>
        </w:tabs>
        <w:numPr>
          <w:ilvl w:val="1"/>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Expenses. </w:t>
      </w:r>
      <w:r>
        <w:rPr>
          <w:rFonts w:ascii="Arial" w:cs="Arial" w:eastAsia="Arial" w:hAnsi="Arial"/>
          <w:sz w:val="20"/>
          <w:szCs w:val="20"/>
          <w:color w:val="auto"/>
        </w:rPr>
        <w:t>The corporation shall advance to any person who was or is a party or is threatened to be made a party to any</w:t>
      </w:r>
      <w:r>
        <w:rPr>
          <w:rFonts w:ascii="Arial" w:cs="Arial" w:eastAsia="Arial" w:hAnsi="Arial"/>
          <w:sz w:val="20"/>
          <w:szCs w:val="20"/>
          <w:b w:val="1"/>
          <w:bCs w:val="1"/>
          <w:color w:val="auto"/>
        </w:rPr>
        <w:t xml:space="preserve"> </w:t>
      </w:r>
      <w:r>
        <w:rPr>
          <w:rFonts w:ascii="Arial" w:cs="Arial" w:eastAsia="Arial" w:hAnsi="Arial"/>
          <w:sz w:val="20"/>
          <w:szCs w:val="20"/>
          <w:color w:val="auto"/>
        </w:rPr>
        <w:t>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Arial" w:cs="Arial" w:eastAsia="Arial" w:hAnsi="Arial"/>
          <w:sz w:val="20"/>
          <w:szCs w:val="20"/>
          <w:b w:val="1"/>
          <w:bCs w:val="1"/>
          <w:i w:val="1"/>
          <w:iCs w:val="1"/>
          <w:color w:val="auto"/>
        </w:rPr>
        <w:t>undertaking</w:t>
      </w:r>
      <w:r>
        <w:rPr>
          <w:rFonts w:ascii="Arial" w:cs="Arial" w:eastAsia="Arial" w:hAnsi="Arial"/>
          <w:sz w:val="20"/>
          <w:szCs w:val="20"/>
          <w:color w:val="auto"/>
        </w:rPr>
        <w:t>”), by or on behalf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indemnitee, to repay all amounts so advanced if it shall ultimately be determined by final judicial decision from which there is no further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right to appeal (hereinafter a “</w:t>
      </w:r>
      <w:r>
        <w:rPr>
          <w:rFonts w:ascii="Arial" w:cs="Arial" w:eastAsia="Arial" w:hAnsi="Arial"/>
          <w:sz w:val="20"/>
          <w:szCs w:val="20"/>
          <w:b w:val="1"/>
          <w:bCs w:val="1"/>
          <w:i w:val="1"/>
          <w:iCs w:val="1"/>
          <w:color w:val="auto"/>
        </w:rPr>
        <w:t>final adjudication</w:t>
      </w:r>
      <w:r>
        <w:rPr>
          <w:rFonts w:ascii="Arial" w:cs="Arial" w:eastAsia="Arial" w:hAnsi="Arial"/>
          <w:sz w:val="20"/>
          <w:szCs w:val="20"/>
          <w:color w:val="auto"/>
        </w:rPr>
        <w:t>”) that such indemnitee is not entitled to be indemnified for such expenses under this section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Notwithstanding the foregoing, unless otherwise determined pursuant to paragraph (d) of this Section </w:t>
      </w:r>
      <w:r>
        <w:rPr>
          <w:rFonts w:ascii="Arial" w:cs="Arial" w:eastAsia="Arial" w:hAnsi="Arial"/>
          <w:sz w:val="18"/>
          <w:szCs w:val="18"/>
          <w:u w:val="single" w:color="auto"/>
          <w:color w:val="auto"/>
        </w:rPr>
        <w:t>46</w:t>
      </w:r>
      <w:r>
        <w:rPr>
          <w:rFonts w:ascii="Arial" w:cs="Arial" w:eastAsia="Arial" w:hAnsi="Arial"/>
          <w:sz w:val="18"/>
          <w:szCs w:val="18"/>
          <w:color w:val="auto"/>
        </w:rPr>
        <w:t>, no advance shall be made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the corporation to an executive officer of the corporation (except by reason of the fact that such executive officer is or was a director of the corporation in which event this paragraph shall not apply) in any action, suit or proceeding, whether civil, criminal, administrative or</w:t>
      </w:r>
    </w:p>
    <w:p>
      <w:pPr>
        <w:spacing w:after="0" w:line="236" w:lineRule="auto"/>
        <w:rPr>
          <w:sz w:val="20"/>
          <w:szCs w:val="20"/>
          <w:color w:val="auto"/>
        </w:rPr>
      </w:pPr>
      <w:r>
        <w:rPr>
          <w:rFonts w:ascii="Arial" w:cs="Arial" w:eastAsia="Arial" w:hAnsi="Arial"/>
          <w:sz w:val="18"/>
          <w:szCs w:val="18"/>
          <w:color w:val="auto"/>
        </w:rPr>
        <w:t>investigative, if a determination is reasonably and promptly made (i) by a majority vote of directors who were not parties to the proceeding,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even if not a quorum, or (ii) by a committee of such directors designated by a majority vote of such directors, even though less than a quorum, or (iii) if there are no such directors, or such directors so direct, by independent legal counsel in a written opinion, that the facts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50" w:lineRule="exact"/>
        <w:rPr>
          <w:sz w:val="20"/>
          <w:szCs w:val="20"/>
          <w:color w:val="auto"/>
        </w:rPr>
      </w:pPr>
    </w:p>
    <w:p>
      <w:pPr>
        <w:jc w:val="both"/>
        <w:ind w:firstLine="980"/>
        <w:spacing w:after="0" w:line="232" w:lineRule="auto"/>
        <w:tabs>
          <w:tab w:leader="none" w:pos="129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Without the necessity of entering into an express contract, all rights to indemnification and advances to</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to the fullest extent permitted by law.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174" w:lineRule="exact"/>
        <w:rPr>
          <w:rFonts w:ascii="Arial" w:cs="Arial" w:eastAsia="Arial" w:hAnsi="Arial"/>
          <w:sz w:val="18"/>
          <w:szCs w:val="18"/>
          <w:b w:val="1"/>
          <w:bCs w:val="1"/>
          <w:color w:val="auto"/>
        </w:rPr>
      </w:pPr>
    </w:p>
    <w:p>
      <w:pPr>
        <w:jc w:val="both"/>
        <w:ind w:firstLine="980"/>
        <w:spacing w:after="0" w:line="215" w:lineRule="auto"/>
        <w:tabs>
          <w:tab w:leader="none" w:pos="1286"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Non-Exclusivity of Rights. </w:t>
      </w:r>
      <w:r>
        <w:rPr>
          <w:rFonts w:ascii="Arial" w:cs="Arial" w:eastAsia="Arial" w:hAnsi="Arial"/>
          <w:sz w:val="20"/>
          <w:szCs w:val="20"/>
          <w:color w:val="auto"/>
        </w:rPr>
        <w:t>The rights conferred on any person by this Bylaw shall not be exclusive of any other right which</w:t>
      </w:r>
      <w:r>
        <w:rPr>
          <w:rFonts w:ascii="Arial" w:cs="Arial" w:eastAsia="Arial" w:hAnsi="Arial"/>
          <w:sz w:val="20"/>
          <w:szCs w:val="20"/>
          <w:b w:val="1"/>
          <w:bCs w:val="1"/>
          <w:color w:val="auto"/>
        </w:rPr>
        <w:t xml:space="preserve"> </w:t>
      </w:r>
      <w:r>
        <w:rPr>
          <w:rFonts w:ascii="Arial" w:cs="Arial" w:eastAsia="Arial" w:hAnsi="Arial"/>
          <w:sz w:val="20"/>
          <w:szCs w:val="20"/>
          <w:color w:val="auto"/>
        </w:rPr>
        <w:t>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67" w:lineRule="exact"/>
        <w:rPr>
          <w:rFonts w:ascii="Arial" w:cs="Arial" w:eastAsia="Arial" w:hAnsi="Arial"/>
          <w:sz w:val="20"/>
          <w:szCs w:val="20"/>
          <w:b w:val="1"/>
          <w:bCs w:val="1"/>
          <w:color w:val="auto"/>
        </w:rPr>
      </w:pPr>
    </w:p>
    <w:p>
      <w:pPr>
        <w:jc w:val="both"/>
        <w:ind w:firstLine="980"/>
        <w:spacing w:after="0" w:line="225" w:lineRule="auto"/>
        <w:tabs>
          <w:tab w:leader="none" w:pos="1291"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Survival of Rights. </w:t>
      </w:r>
      <w:r>
        <w:rPr>
          <w:rFonts w:ascii="Arial" w:cs="Arial" w:eastAsia="Arial" w:hAnsi="Arial"/>
          <w:sz w:val="20"/>
          <w:szCs w:val="20"/>
          <w:color w:val="auto"/>
        </w:rPr>
        <w:t>The rights conferred on any person by this Bylaw shall continue as to a person who has ceased to be a</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or executive officer or officer, employee or other agent and shall inure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5" w:right="339" w:bottom="1440" w:gutter="0" w:footer="0" w:header="0"/>
        </w:sectPr>
      </w:pPr>
    </w:p>
    <w:bookmarkStart w:id="174" w:name="page175"/>
    <w:bookmarkEnd w:id="174"/>
    <w:p>
      <w:pPr>
        <w:ind w:right="20" w:firstLine="980"/>
        <w:spacing w:after="0" w:line="292" w:lineRule="auto"/>
        <w:tabs>
          <w:tab w:leader="none" w:pos="128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To the fullest extent permitted by the DGCL or any other applicable law, the corporation, upon approval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purchase insurance on behalf of any person required or permitted to be indemnified pursuant to this section.</w:t>
      </w:r>
    </w:p>
    <w:p>
      <w:pPr>
        <w:spacing w:after="0" w:line="103" w:lineRule="exact"/>
        <w:rPr>
          <w:rFonts w:ascii="Arial" w:cs="Arial" w:eastAsia="Arial" w:hAnsi="Arial"/>
          <w:sz w:val="18"/>
          <w:szCs w:val="18"/>
          <w:b w:val="1"/>
          <w:bCs w:val="1"/>
          <w:color w:val="auto"/>
        </w:rPr>
      </w:pPr>
    </w:p>
    <w:p>
      <w:pPr>
        <w:jc w:val="both"/>
        <w:ind w:firstLine="980"/>
        <w:spacing w:after="0" w:line="230" w:lineRule="auto"/>
        <w:tabs>
          <w:tab w:leader="none" w:pos="1295"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Amendments. </w:t>
      </w:r>
      <w:r>
        <w:rPr>
          <w:rFonts w:ascii="Arial" w:cs="Arial" w:eastAsia="Arial" w:hAnsi="Arial"/>
          <w:sz w:val="20"/>
          <w:szCs w:val="20"/>
          <w:color w:val="auto"/>
        </w:rPr>
        <w:t>Any repeal or modification of this section shall only be prospective and shall not affect the rights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Bylaw in effect at the time of the alleged occurrence of any action or omission to act that is the cause of any proceeding against any agent of the corporation.</w:t>
      </w:r>
    </w:p>
    <w:p>
      <w:pPr>
        <w:spacing w:after="0" w:line="148" w:lineRule="exact"/>
        <w:rPr>
          <w:rFonts w:ascii="Arial" w:cs="Arial" w:eastAsia="Arial" w:hAnsi="Arial"/>
          <w:sz w:val="20"/>
          <w:szCs w:val="20"/>
          <w:b w:val="1"/>
          <w:bCs w:val="1"/>
          <w:color w:val="auto"/>
        </w:rPr>
      </w:pPr>
    </w:p>
    <w:p>
      <w:pPr>
        <w:jc w:val="both"/>
        <w:ind w:firstLine="980"/>
        <w:spacing w:after="0" w:line="219" w:lineRule="auto"/>
        <w:tabs>
          <w:tab w:leader="none" w:pos="1294"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Saving Clause. </w:t>
      </w:r>
      <w:r>
        <w:rPr>
          <w:rFonts w:ascii="Arial" w:cs="Arial" w:eastAsia="Arial" w:hAnsi="Arial"/>
          <w:sz w:val="20"/>
          <w:szCs w:val="20"/>
          <w:color w:val="auto"/>
        </w:rPr>
        <w:t>If this Bylaw or any portion hereof shall be invalidated on any ground by any court of competent</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65" w:lineRule="exact"/>
        <w:rPr>
          <w:rFonts w:ascii="Arial" w:cs="Arial" w:eastAsia="Arial" w:hAnsi="Arial"/>
          <w:sz w:val="20"/>
          <w:szCs w:val="20"/>
          <w:b w:val="1"/>
          <w:bCs w:val="1"/>
          <w:color w:val="auto"/>
        </w:rPr>
      </w:pPr>
    </w:p>
    <w:p>
      <w:pPr>
        <w:ind w:left="1300" w:hanging="320"/>
        <w:spacing w:after="0"/>
        <w:tabs>
          <w:tab w:leader="none" w:pos="13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Certain Definitions. </w:t>
      </w:r>
      <w:r>
        <w:rPr>
          <w:rFonts w:ascii="Arial" w:cs="Arial" w:eastAsia="Arial" w:hAnsi="Arial"/>
          <w:sz w:val="20"/>
          <w:szCs w:val="20"/>
          <w:color w:val="auto"/>
        </w:rPr>
        <w:t>For the purposes of this Bylaw, the following definitions shall apply:</w:t>
      </w:r>
    </w:p>
    <w:p>
      <w:pPr>
        <w:spacing w:after="0" w:line="181" w:lineRule="exact"/>
        <w:rPr>
          <w:rFonts w:ascii="Arial" w:cs="Arial" w:eastAsia="Arial" w:hAnsi="Arial"/>
          <w:sz w:val="20"/>
          <w:szCs w:val="20"/>
          <w:b w:val="1"/>
          <w:bCs w:val="1"/>
          <w:color w:val="auto"/>
        </w:rPr>
      </w:pPr>
    </w:p>
    <w:p>
      <w:pPr>
        <w:jc w:val="both"/>
        <w:ind w:firstLine="1304"/>
        <w:spacing w:after="0" w:line="227" w:lineRule="auto"/>
        <w:tabs>
          <w:tab w:leader="none" w:pos="1942"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proceeding</w:t>
      </w:r>
      <w:r>
        <w:rPr>
          <w:rFonts w:ascii="Arial" w:cs="Arial" w:eastAsia="Arial" w:hAnsi="Arial"/>
          <w:sz w:val="20"/>
          <w:szCs w:val="20"/>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57" w:lineRule="exact"/>
        <w:rPr>
          <w:rFonts w:ascii="Arial" w:cs="Arial" w:eastAsia="Arial" w:hAnsi="Arial"/>
          <w:sz w:val="20"/>
          <w:szCs w:val="20"/>
          <w:b w:val="1"/>
          <w:bCs w:val="1"/>
          <w:color w:val="auto"/>
        </w:rPr>
      </w:pPr>
    </w:p>
    <w:p>
      <w:pPr>
        <w:jc w:val="both"/>
        <w:ind w:firstLine="1304"/>
        <w:spacing w:after="0" w:line="227" w:lineRule="auto"/>
        <w:tabs>
          <w:tab w:leader="none" w:pos="1943"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expenses</w:t>
      </w:r>
      <w:r>
        <w:rPr>
          <w:rFonts w:ascii="Arial" w:cs="Arial" w:eastAsia="Arial" w:hAnsi="Arial"/>
          <w:sz w:val="20"/>
          <w:szCs w:val="20"/>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7" w:lineRule="exact"/>
        <w:rPr>
          <w:rFonts w:ascii="Arial" w:cs="Arial" w:eastAsia="Arial" w:hAnsi="Arial"/>
          <w:sz w:val="20"/>
          <w:szCs w:val="20"/>
          <w:b w:val="1"/>
          <w:bCs w:val="1"/>
          <w:color w:val="auto"/>
        </w:rPr>
      </w:pPr>
    </w:p>
    <w:p>
      <w:pPr>
        <w:jc w:val="both"/>
        <w:ind w:firstLine="1304"/>
        <w:spacing w:after="0" w:line="214" w:lineRule="auto"/>
        <w:tabs>
          <w:tab w:leader="none" w:pos="1944"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The term the “</w:t>
      </w:r>
      <w:r>
        <w:rPr>
          <w:rFonts w:ascii="Arial" w:cs="Arial" w:eastAsia="Arial" w:hAnsi="Arial"/>
          <w:sz w:val="20"/>
          <w:szCs w:val="20"/>
          <w:b w:val="1"/>
          <w:bCs w:val="1"/>
          <w:i w:val="1"/>
          <w:iCs w:val="1"/>
          <w:color w:val="auto"/>
        </w:rPr>
        <w:t>corporation</w:t>
      </w:r>
      <w:r>
        <w:rPr>
          <w:rFonts w:ascii="Arial" w:cs="Arial" w:eastAsia="Arial" w:hAnsi="Arial"/>
          <w:sz w:val="20"/>
          <w:szCs w:val="20"/>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71" w:lineRule="exact"/>
        <w:rPr>
          <w:rFonts w:ascii="Arial" w:cs="Arial" w:eastAsia="Arial" w:hAnsi="Arial"/>
          <w:sz w:val="20"/>
          <w:szCs w:val="20"/>
          <w:b w:val="1"/>
          <w:bCs w:val="1"/>
          <w:color w:val="auto"/>
        </w:rPr>
      </w:pPr>
    </w:p>
    <w:p>
      <w:pPr>
        <w:jc w:val="both"/>
        <w:ind w:firstLine="1304"/>
        <w:spacing w:after="0" w:line="223" w:lineRule="auto"/>
        <w:tabs>
          <w:tab w:leader="none" w:pos="1933"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References to a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w:t>
      </w:r>
      <w:r>
        <w:rPr>
          <w:rFonts w:ascii="Arial" w:cs="Arial" w:eastAsia="Arial" w:hAnsi="Arial"/>
          <w:sz w:val="20"/>
          <w:szCs w:val="20"/>
          <w:b w:val="1"/>
          <w:bCs w:val="1"/>
          <w:i w:val="1"/>
          <w:iCs w:val="1"/>
          <w:color w:val="auto"/>
        </w:rPr>
        <w:t>executive officer</w:t>
      </w:r>
      <w:r>
        <w:rPr>
          <w:rFonts w:ascii="Arial" w:cs="Arial" w:eastAsia="Arial" w:hAnsi="Arial"/>
          <w:sz w:val="20"/>
          <w:szCs w:val="20"/>
          <w:color w:val="auto"/>
        </w:rPr>
        <w:t>,” “</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or “</w:t>
      </w:r>
      <w:r>
        <w:rPr>
          <w:rFonts w:ascii="Arial" w:cs="Arial" w:eastAsia="Arial" w:hAnsi="Arial"/>
          <w:sz w:val="20"/>
          <w:szCs w:val="20"/>
          <w:b w:val="1"/>
          <w:bCs w:val="1"/>
          <w:i w:val="1"/>
          <w:iCs w:val="1"/>
          <w:color w:val="auto"/>
        </w:rPr>
        <w:t>agent</w:t>
      </w:r>
      <w:r>
        <w:rPr>
          <w:rFonts w:ascii="Arial" w:cs="Arial" w:eastAsia="Arial" w:hAnsi="Arial"/>
          <w:sz w:val="20"/>
          <w:szCs w:val="20"/>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68" w:lineRule="exact"/>
        <w:rPr>
          <w:rFonts w:ascii="Arial" w:cs="Arial" w:eastAsia="Arial" w:hAnsi="Arial"/>
          <w:sz w:val="20"/>
          <w:szCs w:val="20"/>
          <w:b w:val="1"/>
          <w:bCs w:val="1"/>
          <w:color w:val="auto"/>
        </w:rPr>
      </w:pPr>
    </w:p>
    <w:p>
      <w:pPr>
        <w:jc w:val="both"/>
        <w:ind w:firstLine="1304"/>
        <w:spacing w:after="0" w:line="238" w:lineRule="auto"/>
        <w:tabs>
          <w:tab w:leader="none" w:pos="1932"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b w:val="1"/>
          <w:bCs w:val="1"/>
          <w:i w:val="1"/>
          <w:iCs w:val="1"/>
          <w:color w:val="auto"/>
        </w:rPr>
        <w:t>serving at the request of the corporation</w:t>
      </w:r>
      <w:r>
        <w:rPr>
          <w:rFonts w:ascii="Arial" w:cs="Arial" w:eastAsia="Arial" w:hAnsi="Arial"/>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 interests of the corporation</w:t>
      </w:r>
      <w:r>
        <w:rPr>
          <w:rFonts w:ascii="Arial" w:cs="Arial" w:eastAsia="Arial" w:hAnsi="Arial"/>
          <w:sz w:val="18"/>
          <w:szCs w:val="18"/>
          <w:color w:val="auto"/>
        </w:rPr>
        <w:t>” as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399"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0"/>
          <w:szCs w:val="20"/>
          <w:b w:val="1"/>
          <w:bCs w:val="1"/>
          <w:color w:val="auto"/>
        </w:rPr>
        <w:t>ARTICLE XII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47. Notices.</w:t>
      </w:r>
    </w:p>
    <w:p>
      <w:pPr>
        <w:spacing w:after="0" w:line="153" w:lineRule="exact"/>
        <w:rPr>
          <w:sz w:val="20"/>
          <w:szCs w:val="20"/>
          <w:color w:val="auto"/>
        </w:rPr>
      </w:pPr>
    </w:p>
    <w:p>
      <w:pPr>
        <w:jc w:val="both"/>
        <w:ind w:firstLine="980"/>
        <w:spacing w:after="0" w:line="248" w:lineRule="auto"/>
        <w:tabs>
          <w:tab w:leader="none" w:pos="128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w:t>
      </w:r>
      <w:r>
        <w:rPr>
          <w:rFonts w:ascii="Arial" w:cs="Arial" w:eastAsia="Arial" w:hAnsi="Arial"/>
          <w:sz w:val="18"/>
          <w:szCs w:val="18"/>
          <w:color w:val="auto"/>
        </w:rPr>
        <w:t>Notice to stockholders of stockholder meetings shall be given as provided in Section 7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56" w:lineRule="exact"/>
        <w:rPr>
          <w:rFonts w:ascii="Arial" w:cs="Arial" w:eastAsia="Arial" w:hAnsi="Arial"/>
          <w:sz w:val="18"/>
          <w:szCs w:val="18"/>
          <w:b w:val="1"/>
          <w:bCs w:val="1"/>
          <w:color w:val="auto"/>
        </w:rPr>
      </w:pPr>
    </w:p>
    <w:p>
      <w:pPr>
        <w:jc w:val="both"/>
        <w:ind w:firstLine="980"/>
        <w:spacing w:after="0" w:line="237" w:lineRule="auto"/>
        <w:tabs>
          <w:tab w:leader="none" w:pos="1295"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to Directors. </w:t>
      </w:r>
      <w:r>
        <w:rPr>
          <w:rFonts w:ascii="Arial" w:cs="Arial" w:eastAsia="Arial" w:hAnsi="Arial"/>
          <w:sz w:val="19"/>
          <w:szCs w:val="19"/>
          <w:color w:val="auto"/>
        </w:rPr>
        <w:t>Any notice required to be given to any director may be given by the method stated in subsection (a) or</w:t>
      </w:r>
      <w:r>
        <w:rPr>
          <w:rFonts w:ascii="Arial" w:cs="Arial" w:eastAsia="Arial" w:hAnsi="Arial"/>
          <w:sz w:val="19"/>
          <w:szCs w:val="19"/>
          <w:b w:val="1"/>
          <w:bCs w:val="1"/>
          <w:color w:val="auto"/>
        </w:rPr>
        <w:t xml:space="preserve"> </w:t>
      </w:r>
      <w:r>
        <w:rPr>
          <w:rFonts w:ascii="Arial" w:cs="Arial" w:eastAsia="Arial" w:hAnsi="Arial"/>
          <w:sz w:val="19"/>
          <w:szCs w:val="19"/>
          <w:color w:val="auto"/>
        </w:rPr>
        <w:t>as otherwise provided in these Bylaws, with notice other than one which is delivered personally to be sent to such address as such director shall have filed in writing with the Secretary, or, in the absence of such filing, to the last known address of such director.</w:t>
      </w:r>
    </w:p>
    <w:p>
      <w:pPr>
        <w:spacing w:after="0" w:line="162" w:lineRule="exact"/>
        <w:rPr>
          <w:rFonts w:ascii="Arial" w:cs="Arial" w:eastAsia="Arial" w:hAnsi="Arial"/>
          <w:sz w:val="19"/>
          <w:szCs w:val="19"/>
          <w:b w:val="1"/>
          <w:bCs w:val="1"/>
          <w:color w:val="auto"/>
        </w:rPr>
      </w:pPr>
    </w:p>
    <w:p>
      <w:pPr>
        <w:jc w:val="both"/>
        <w:ind w:firstLine="980"/>
        <w:spacing w:after="0" w:line="248" w:lineRule="auto"/>
        <w:tabs>
          <w:tab w:leader="none" w:pos="128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56" w:lineRule="exact"/>
        <w:rPr>
          <w:rFonts w:ascii="Arial" w:cs="Arial" w:eastAsia="Arial" w:hAnsi="Arial"/>
          <w:sz w:val="18"/>
          <w:szCs w:val="18"/>
          <w:b w:val="1"/>
          <w:bCs w:val="1"/>
          <w:color w:val="auto"/>
        </w:rPr>
      </w:pPr>
    </w:p>
    <w:p>
      <w:pPr>
        <w:jc w:val="both"/>
        <w:ind w:right="20" w:firstLine="980"/>
        <w:spacing w:after="0" w:line="225" w:lineRule="auto"/>
        <w:tabs>
          <w:tab w:leader="none" w:pos="1295"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Methods of Notice. </w:t>
      </w:r>
      <w:r>
        <w:rPr>
          <w:rFonts w:ascii="Arial" w:cs="Arial" w:eastAsia="Arial" w:hAnsi="Arial"/>
          <w:sz w:val="20"/>
          <w:szCs w:val="20"/>
          <w:color w:val="auto"/>
        </w:rPr>
        <w:t>It shall not be necessary that the same method of giving notice be employed in respect of all recipients</w:t>
      </w:r>
      <w:r>
        <w:rPr>
          <w:rFonts w:ascii="Arial" w:cs="Arial" w:eastAsia="Arial" w:hAnsi="Arial"/>
          <w:sz w:val="20"/>
          <w:szCs w:val="20"/>
          <w:b w:val="1"/>
          <w:bCs w:val="1"/>
          <w:color w:val="auto"/>
        </w:rPr>
        <w:t xml:space="preserve"> </w:t>
      </w:r>
      <w:r>
        <w:rPr>
          <w:rFonts w:ascii="Arial" w:cs="Arial" w:eastAsia="Arial" w:hAnsi="Arial"/>
          <w:sz w:val="20"/>
          <w:szCs w:val="20"/>
          <w:color w:val="auto"/>
        </w:rPr>
        <w:t>of notice, but one permissible method may be employed in respect of any one or more, and any other permissible method or methods may be employed in respect of any other or others.</w:t>
      </w:r>
    </w:p>
    <w:p>
      <w:pPr>
        <w:spacing w:after="0" w:line="163" w:lineRule="exact"/>
        <w:rPr>
          <w:rFonts w:ascii="Arial" w:cs="Arial" w:eastAsia="Arial" w:hAnsi="Arial"/>
          <w:sz w:val="20"/>
          <w:szCs w:val="20"/>
          <w:b w:val="1"/>
          <w:bCs w:val="1"/>
          <w:color w:val="auto"/>
        </w:rPr>
      </w:pPr>
    </w:p>
    <w:p>
      <w:pPr>
        <w:jc w:val="both"/>
        <w:ind w:firstLine="980"/>
        <w:spacing w:after="0" w:line="213" w:lineRule="auto"/>
        <w:tabs>
          <w:tab w:leader="none" w:pos="1286"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to Person with Whom Communication is Unlawful. </w:t>
      </w:r>
      <w:r>
        <w:rPr>
          <w:rFonts w:ascii="Arial" w:cs="Arial" w:eastAsia="Arial" w:hAnsi="Arial"/>
          <w:sz w:val="20"/>
          <w:szCs w:val="20"/>
          <w:color w:val="auto"/>
        </w:rPr>
        <w:t>Whenever notice is required to be given, under any provision</w:t>
      </w:r>
      <w:r>
        <w:rPr>
          <w:rFonts w:ascii="Arial" w:cs="Arial" w:eastAsia="Arial" w:hAnsi="Arial"/>
          <w:sz w:val="20"/>
          <w:szCs w:val="20"/>
          <w:b w:val="1"/>
          <w:bCs w:val="1"/>
          <w:color w:val="auto"/>
        </w:rPr>
        <w:t xml:space="preserve"> </w:t>
      </w:r>
      <w:r>
        <w:rPr>
          <w:rFonts w:ascii="Arial" w:cs="Arial" w:eastAsia="Arial" w:hAnsi="Arial"/>
          <w:sz w:val="20"/>
          <w:szCs w:val="20"/>
          <w:color w:val="auto"/>
        </w:rPr>
        <w:t>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62" w:lineRule="exact"/>
        <w:rPr>
          <w:rFonts w:ascii="Arial" w:cs="Arial" w:eastAsia="Arial" w:hAnsi="Arial"/>
          <w:sz w:val="20"/>
          <w:szCs w:val="20"/>
          <w:b w:val="1"/>
          <w:bCs w:val="1"/>
          <w:color w:val="auto"/>
        </w:rPr>
      </w:pPr>
    </w:p>
    <w:p>
      <w:pPr>
        <w:jc w:val="both"/>
        <w:ind w:firstLine="980"/>
        <w:spacing w:after="0" w:line="245" w:lineRule="auto"/>
        <w:tabs>
          <w:tab w:leader="none" w:pos="129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to Stockholders Sharing an Address. </w:t>
      </w:r>
      <w:r>
        <w:rPr>
          <w:rFonts w:ascii="Arial" w:cs="Arial" w:eastAsia="Arial" w:hAnsi="Arial"/>
          <w:sz w:val="18"/>
          <w:szCs w:val="18"/>
          <w:color w:val="auto"/>
        </w:rPr>
        <w:t>Except as otherwise prohibited under the DGCL, any notice given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ARTICLE XIII</w:t>
      </w:r>
    </w:p>
    <w:p>
      <w:pPr>
        <w:spacing w:after="0" w:line="162"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AMENDMENTS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48. Amendments. </w:t>
      </w:r>
      <w:r>
        <w:rPr>
          <w:rFonts w:ascii="Arial" w:cs="Arial" w:eastAsia="Arial" w:hAnsi="Arial"/>
          <w:sz w:val="19"/>
          <w:szCs w:val="19"/>
          <w:color w:val="auto"/>
        </w:rPr>
        <w:t>Subject to the limitations set forth in 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(h) of these Bylaws or the provisions of the Certificate of</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Incorporation, the Board of Directors is expressly empowered to adopt, amend or repeal the Bylaws of the corporation. The stockholders also shall have power to adopt, amend or repeal the Bylaws of the corporation; provided, however, that, in addition to any vote of the holders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class or series of stock of the corporation required by law or by the Certificate of Incorporation,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3" w:right="339" w:bottom="1440" w:gutter="0" w:footer="0" w:header="0"/>
        </w:sectPr>
      </w:pPr>
    </w:p>
    <w:bookmarkStart w:id="176" w:name="page177"/>
    <w:bookmarkEnd w:id="176"/>
    <w:p>
      <w:pPr>
        <w:spacing w:after="0" w:line="285" w:lineRule="auto"/>
        <w:rPr>
          <w:sz w:val="20"/>
          <w:szCs w:val="20"/>
          <w:color w:val="auto"/>
        </w:rPr>
      </w:pPr>
      <w:r>
        <w:rPr>
          <w:rFonts w:ascii="Arial" w:cs="Arial" w:eastAsia="Arial" w:hAnsi="Arial"/>
          <w:sz w:val="18"/>
          <w:szCs w:val="18"/>
          <w:color w:val="auto"/>
        </w:rPr>
        <w:t>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XIV</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LOANS TO OFFICERS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Section 49. Loans to Officers. </w:t>
      </w:r>
      <w:r>
        <w:rPr>
          <w:rFonts w:ascii="Arial" w:cs="Arial" w:eastAsia="Arial" w:hAnsi="Arial"/>
          <w:sz w:val="18"/>
          <w:szCs w:val="18"/>
          <w:color w:val="auto"/>
        </w:rPr>
        <w:t>Except as otherwise prohibited by applicable law, the corporation may lend money to, or guarantee any</w:t>
      </w:r>
    </w:p>
    <w:p>
      <w:pPr>
        <w:spacing w:after="0" w:line="226" w:lineRule="auto"/>
        <w:rPr>
          <w:sz w:val="20"/>
          <w:szCs w:val="20"/>
          <w:color w:val="auto"/>
        </w:rPr>
      </w:pPr>
      <w:r>
        <w:rPr>
          <w:rFonts w:ascii="Arial" w:cs="Arial" w:eastAsia="Arial" w:hAnsi="Arial"/>
          <w:sz w:val="18"/>
          <w:szCs w:val="18"/>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assistance may reasonably be expected to benefit the corporation. The loan, guarantee or other assistance may be with or without interest and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may be unsecured, or secured in such manner as the Board of Directors shall approve, including, without limitation, a pledge of shares of stock of the corporation. Nothing in these Bylaws shall be deemed to deny, limit or restrict the powers of guaranty or warranty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February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5"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4.2</w:t>
      </w:r>
    </w:p>
    <w:p>
      <w:pPr>
        <w:spacing w:after="0" w:line="234" w:lineRule="exact"/>
        <w:rPr>
          <w:sz w:val="20"/>
          <w:szCs w:val="20"/>
          <w:color w:val="auto"/>
        </w:rPr>
      </w:pPr>
    </w:p>
    <w:p>
      <w:pPr>
        <w:jc w:val="center"/>
        <w:ind w:left="340" w:right="2620"/>
        <w:spacing w:after="0" w:line="302"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37" w:lineRule="exact"/>
        <w:rPr>
          <w:sz w:val="20"/>
          <w:szCs w:val="20"/>
          <w:color w:val="auto"/>
        </w:rPr>
      </w:pPr>
    </w:p>
    <w:p>
      <w:pPr>
        <w:ind w:right="100"/>
        <w:spacing w:after="0" w:line="299" w:lineRule="auto"/>
        <w:rPr>
          <w:sz w:val="20"/>
          <w:szCs w:val="20"/>
          <w:color w:val="auto"/>
        </w:rPr>
      </w:pPr>
      <w:r>
        <w:rPr>
          <w:rFonts w:ascii="Arial" w:cs="Arial" w:eastAsia="Arial" w:hAnsi="Arial"/>
          <w:sz w:val="20"/>
          <w:szCs w:val="20"/>
          <w:color w:val="auto"/>
        </w:rPr>
        <w:t>Root, Inc. had one class of securities registered under Section 12 of the Securities Exchange Act of 1934, as amended (the “Exchange Act”): our Class A common stock, $0.0001 par value per share (“Class A Common Stock”). References herein to the terms “we,” “our” and “us” refer to Root, Inc. and its subsidiaries.</w:t>
      </w:r>
    </w:p>
    <w:p>
      <w:pPr>
        <w:spacing w:after="0" w:line="153"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The following description of our capital stock is a summary and does not purport to be complete. It is subject to, and qualified in its entirety by reference to, the applicable provisions of our amended and restated certificate of incorporation, as amended, our amended and restated bylaws and our investors’ rights agreement entered into in November 2019, which are filed as exhibits to our Annual Report on Form 10-K, of which this Exhibit 4.2 is a part, and are incorporated by reference herein. We encourage you to read our amended and restated certificate of incorporation, our certificate of amendment to our amended and restated certificate of incorporation, our amended and restated bylaws, our investors’ rights agreement and the applicable provisions of the Delaware General Corporation Law (the “DGCL”), for more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35" w:lineRule="exact"/>
        <w:rPr>
          <w:sz w:val="20"/>
          <w:szCs w:val="20"/>
          <w:color w:val="auto"/>
        </w:rPr>
      </w:pPr>
    </w:p>
    <w:p>
      <w:pPr>
        <w:ind w:right="40"/>
        <w:spacing w:after="0" w:line="293" w:lineRule="auto"/>
        <w:rPr>
          <w:sz w:val="20"/>
          <w:szCs w:val="20"/>
          <w:color w:val="auto"/>
        </w:rPr>
      </w:pPr>
      <w:r>
        <w:rPr>
          <w:rFonts w:ascii="Arial" w:cs="Arial" w:eastAsia="Arial" w:hAnsi="Arial"/>
          <w:sz w:val="20"/>
          <w:szCs w:val="20"/>
          <w:color w:val="auto"/>
        </w:rPr>
        <w:t>Our amended and restated certificate of incorporation provides for two classes of common stock: Class A Common Stock and Class B common stock, par value $0.0001 per share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59" w:lineRule="exact"/>
        <w:rPr>
          <w:sz w:val="20"/>
          <w:szCs w:val="20"/>
          <w:color w:val="auto"/>
        </w:rPr>
      </w:pPr>
    </w:p>
    <w:p>
      <w:pPr>
        <w:ind w:right="140"/>
        <w:spacing w:after="0" w:line="299" w:lineRule="auto"/>
        <w:rPr>
          <w:sz w:val="20"/>
          <w:szCs w:val="20"/>
          <w:color w:val="auto"/>
        </w:rPr>
      </w:pPr>
      <w:r>
        <w:rPr>
          <w:rFonts w:ascii="Arial" w:cs="Arial" w:eastAsia="Arial" w:hAnsi="Arial"/>
          <w:sz w:val="20"/>
          <w:szCs w:val="20"/>
          <w:color w:val="auto"/>
        </w:rPr>
        <w:t>Our authorized capital stock consists of 1,369,000,000 shares, all with a par value of $0.0001 per share, of which 1,000,000,000 shares are designated as Class A Common Stock, 269,000,000 shares are designated as Class B Common Stock and 100,000,000 shares are designated as preferred stock.</w:t>
      </w:r>
    </w:p>
    <w:p>
      <w:pPr>
        <w:spacing w:after="0" w:line="139" w:lineRule="exact"/>
        <w:rPr>
          <w:sz w:val="20"/>
          <w:szCs w:val="20"/>
          <w:color w:val="auto"/>
        </w:rPr>
      </w:pPr>
    </w:p>
    <w:p>
      <w:pPr>
        <w:ind w:right="80"/>
        <w:spacing w:after="0" w:line="294" w:lineRule="auto"/>
        <w:rPr>
          <w:sz w:val="20"/>
          <w:szCs w:val="20"/>
          <w:color w:val="auto"/>
        </w:rPr>
      </w:pPr>
      <w:r>
        <w:rPr>
          <w:rFonts w:ascii="Arial" w:cs="Arial" w:eastAsia="Arial" w:hAnsi="Arial"/>
          <w:sz w:val="20"/>
          <w:szCs w:val="20"/>
          <w:color w:val="auto"/>
        </w:rPr>
        <w:t>On August 11, 2021, we entered into an Investment Agreement (the “Investment Agreement”) with Carvana Group, LLC (“Carvana”) relating to the issuance of 14,053,096 shares of Series A Convertible Preferred Stock, par value $0.0001 per share (the “Series A Preferred Stock”). The Series A Preferred Stock had an aggregate initial liquidation preference of approximately $126 million (the “Initial Liquidation Preference”) and was convertible into shares of Class A Common Stock at an initial conversion price of $9.00 per share of Class A Common Stock.</w:t>
      </w:r>
    </w:p>
    <w:p>
      <w:pPr>
        <w:spacing w:after="0" w:line="157" w:lineRule="exact"/>
        <w:rPr>
          <w:sz w:val="20"/>
          <w:szCs w:val="20"/>
          <w:color w:val="auto"/>
        </w:rPr>
      </w:pPr>
    </w:p>
    <w:p>
      <w:pPr>
        <w:ind w:right="40"/>
        <w:spacing w:after="0" w:line="313" w:lineRule="auto"/>
        <w:rPr>
          <w:sz w:val="20"/>
          <w:szCs w:val="20"/>
          <w:color w:val="auto"/>
        </w:rPr>
      </w:pPr>
      <w:r>
        <w:rPr>
          <w:rFonts w:ascii="Arial" w:cs="Arial" w:eastAsia="Arial" w:hAnsi="Arial"/>
          <w:sz w:val="19"/>
          <w:szCs w:val="19"/>
          <w:color w:val="auto"/>
        </w:rPr>
        <w:t>On August 12, 2022, we filed a certificate of amendment to our amended and restated certificate of incorporation in order to effect a 1-for-18 reverse stock split of our Class A Common Stock and Class B Common Stock (the “Reverse Stock Split”). As a result of the Reverse Stock Split, every 18 shares of pre-reverse split Class A Common Stock and Class B Common Stock were combined and reclassified into one share of Class A Common Stock and Class B Common Stock, respectively. The Reverse Stock Split</w:t>
      </w:r>
    </w:p>
    <w:p>
      <w:pPr>
        <w:sectPr>
          <w:pgSz w:w="11900" w:h="16838" w:orient="portrait"/>
          <w:cols w:equalWidth="0" w:num="1">
            <w:col w:w="11240"/>
          </w:cols>
          <w:pgMar w:left="320" w:top="1431" w:right="339" w:bottom="1440" w:gutter="0" w:footer="0" w:header="0"/>
        </w:sectPr>
      </w:pPr>
    </w:p>
    <w:bookmarkStart w:id="178" w:name="page179"/>
    <w:bookmarkEnd w:id="178"/>
    <w:p>
      <w:pPr>
        <w:spacing w:after="0" w:line="182" w:lineRule="exact"/>
        <w:rPr>
          <w:sz w:val="20"/>
          <w:szCs w:val="20"/>
          <w:color w:val="auto"/>
        </w:rPr>
      </w:pPr>
    </w:p>
    <w:p>
      <w:pPr>
        <w:ind w:right="140"/>
        <w:spacing w:after="0" w:line="317" w:lineRule="auto"/>
        <w:rPr>
          <w:sz w:val="20"/>
          <w:szCs w:val="20"/>
          <w:color w:val="auto"/>
        </w:rPr>
      </w:pPr>
      <w:r>
        <w:rPr>
          <w:rFonts w:ascii="Arial" w:cs="Arial" w:eastAsia="Arial" w:hAnsi="Arial"/>
          <w:sz w:val="20"/>
          <w:szCs w:val="20"/>
          <w:color w:val="auto"/>
        </w:rPr>
        <w:t>had no effect on the number of authorized shares of Class A Common Stock, Class B Common Stock or preferred stock, or on the stated par value of our Class A Common Stock, Class B Common Stock or preferred stock.</w:t>
      </w:r>
    </w:p>
    <w:p>
      <w:pPr>
        <w:spacing w:after="0" w:line="121" w:lineRule="exact"/>
        <w:rPr>
          <w:sz w:val="20"/>
          <w:szCs w:val="20"/>
          <w:color w:val="auto"/>
        </w:rPr>
      </w:pPr>
    </w:p>
    <w:p>
      <w:pPr>
        <w:ind w:right="360"/>
        <w:spacing w:after="0" w:line="317" w:lineRule="auto"/>
        <w:rPr>
          <w:sz w:val="20"/>
          <w:szCs w:val="20"/>
          <w:color w:val="auto"/>
        </w:rPr>
      </w:pPr>
      <w:r>
        <w:rPr>
          <w:rFonts w:ascii="Arial" w:cs="Arial" w:eastAsia="Arial" w:hAnsi="Arial"/>
          <w:sz w:val="20"/>
          <w:szCs w:val="20"/>
          <w:color w:val="auto"/>
        </w:rPr>
        <w:t>As a result of the Reverse Stock Split, the conversion price for the Series A Preferred Stock was adjusted to $162.00 per share of Class A Common Stock (the “Conversion Price”).</w:t>
      </w:r>
    </w:p>
    <w:p>
      <w:pPr>
        <w:spacing w:after="0" w:line="121"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color w:val="auto"/>
        </w:rPr>
        <w:t>Our board of directors is authorized, without stockholder approval except as required by the listing standards of the Nasdaq Stock Market, to issue additional shares of our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A Common Stock and Class B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29" w:lineRule="exact"/>
        <w:rPr>
          <w:sz w:val="20"/>
          <w:szCs w:val="20"/>
          <w:color w:val="auto"/>
        </w:rPr>
      </w:pPr>
    </w:p>
    <w:p>
      <w:pPr>
        <w:ind w:right="120"/>
        <w:spacing w:after="0" w:line="335" w:lineRule="auto"/>
        <w:rPr>
          <w:sz w:val="20"/>
          <w:szCs w:val="20"/>
          <w:color w:val="auto"/>
        </w:rPr>
      </w:pPr>
      <w:r>
        <w:rPr>
          <w:rFonts w:ascii="Arial" w:cs="Arial" w:eastAsia="Arial" w:hAnsi="Arial"/>
          <w:sz w:val="18"/>
          <w:szCs w:val="18"/>
          <w:color w:val="auto"/>
        </w:rPr>
        <w:t>Holders of Class A Common Stock are entitled to one vote per share on all matters to be voted upon by the stockholders. Holders of Class B Common Stock are entitled to ten votes per share on all matters to be voted upon by the stockholders. The holders of our Class A Common Stock and Class B Common Stock generally vote together as a single class on all matters submitted to a vote of our stockholders (including the election of directors), unless otherwise required by Delaware law or our amended and restated certificate of incorporation.</w:t>
      </w:r>
    </w:p>
    <w:p>
      <w:pPr>
        <w:spacing w:after="0" w:line="127" w:lineRule="exact"/>
        <w:rPr>
          <w:sz w:val="20"/>
          <w:szCs w:val="20"/>
          <w:color w:val="auto"/>
        </w:rPr>
      </w:pPr>
    </w:p>
    <w:p>
      <w:pPr>
        <w:spacing w:after="0" w:line="329" w:lineRule="auto"/>
        <w:rPr>
          <w:sz w:val="20"/>
          <w:szCs w:val="20"/>
          <w:color w:val="auto"/>
        </w:rPr>
      </w:pPr>
      <w:r>
        <w:rPr>
          <w:rFonts w:ascii="Arial" w:cs="Arial" w:eastAsia="Arial" w:hAnsi="Arial"/>
          <w:sz w:val="18"/>
          <w:szCs w:val="18"/>
          <w:color w:val="auto"/>
        </w:rPr>
        <w:t>Pursuant to the Investment Agreement, Carvana has agreed to vote its shares of preferred stock (i) for our nominees for director and (ii) in the same proportion as unaffiliated stockholders with respect to all other proposals. “Unaffiliated stockholders” shall not include any of our current directors or officers or any other beneficial owner of more than 5.0% (determined on a fully diluted basis) of our outstanding Class A Common Stock and Class B Common Stock (other than investors that are eligible to file a Schedule 13G with the Securities and Exchange Commission (the “SEC”) pursuant to Rule 13d-1(b) under the Exchange Act) and any affiliate of any of the foregoing persons.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Our amended and restated certificate of incorporation does not provide for cumulative voting for the 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Rights</w:t>
      </w:r>
    </w:p>
    <w:p>
      <w:pPr>
        <w:spacing w:after="0" w:line="216" w:lineRule="exact"/>
        <w:rPr>
          <w:sz w:val="20"/>
          <w:szCs w:val="20"/>
          <w:color w:val="auto"/>
        </w:rPr>
      </w:pPr>
    </w:p>
    <w:p>
      <w:pPr>
        <w:ind w:right="60"/>
        <w:spacing w:after="0" w:line="291" w:lineRule="auto"/>
        <w:rPr>
          <w:sz w:val="20"/>
          <w:szCs w:val="20"/>
          <w:color w:val="auto"/>
        </w:rPr>
      </w:pPr>
      <w:r>
        <w:rPr>
          <w:rFonts w:ascii="Arial" w:cs="Arial" w:eastAsia="Arial" w:hAnsi="Arial"/>
          <w:sz w:val="20"/>
          <w:szCs w:val="20"/>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63" w:lineRule="exact"/>
        <w:rPr>
          <w:sz w:val="20"/>
          <w:szCs w:val="20"/>
          <w:color w:val="auto"/>
        </w:rPr>
      </w:pPr>
    </w:p>
    <w:p>
      <w:pPr>
        <w:jc w:val="both"/>
        <w:ind w:right="100"/>
        <w:spacing w:after="0" w:line="404" w:lineRule="auto"/>
        <w:rPr>
          <w:sz w:val="20"/>
          <w:szCs w:val="20"/>
          <w:color w:val="auto"/>
        </w:rPr>
      </w:pPr>
      <w:r>
        <w:rPr>
          <w:rFonts w:ascii="Arial" w:cs="Arial" w:eastAsia="Arial" w:hAnsi="Arial"/>
          <w:sz w:val="16"/>
          <w:szCs w:val="16"/>
          <w:color w:val="auto"/>
        </w:rPr>
        <w:t>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2"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color w:val="auto"/>
        </w:rPr>
        <w:t>would be permitted. State insurance regulatory authorities that have jurisdiction over the payment of dividends by our insurance subsidiaries may in the future adopt statutory provisions more restrictive than those currently in effect.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 to Receive Liquidation Distributions</w:t>
      </w:r>
    </w:p>
    <w:p>
      <w:pPr>
        <w:spacing w:after="0" w:line="229" w:lineRule="exact"/>
        <w:rPr>
          <w:sz w:val="20"/>
          <w:szCs w:val="20"/>
          <w:color w:val="auto"/>
        </w:rPr>
      </w:pPr>
    </w:p>
    <w:p>
      <w:pPr>
        <w:ind w:right="340"/>
        <w:spacing w:after="0" w:line="294" w:lineRule="auto"/>
        <w:rPr>
          <w:sz w:val="20"/>
          <w:szCs w:val="20"/>
          <w:color w:val="auto"/>
        </w:rPr>
      </w:pPr>
      <w:r>
        <w:rPr>
          <w:rFonts w:ascii="Arial" w:cs="Arial" w:eastAsia="Arial" w:hAnsi="Arial"/>
          <w:sz w:val="20"/>
          <w:szCs w:val="20"/>
          <w:color w:val="auto"/>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such affected class, voting separately as a class.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Subdivisions and Combinations</w:t>
      </w:r>
    </w:p>
    <w:p>
      <w:pPr>
        <w:spacing w:after="0" w:line="229"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If we subdivide or combine in any manner outstanding shares of Class A Common Stock or Class B Common Stock, the outstanding shares of the other classes will be subdivided or combined in the same manner.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Matters</w:t>
      </w:r>
    </w:p>
    <w:p>
      <w:pPr>
        <w:spacing w:after="0" w:line="229" w:lineRule="exact"/>
        <w:rPr>
          <w:sz w:val="20"/>
          <w:szCs w:val="20"/>
          <w:color w:val="auto"/>
        </w:rPr>
      </w:pPr>
    </w:p>
    <w:p>
      <w:pPr>
        <w:ind w:right="80"/>
        <w:spacing w:after="0" w:line="363"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Each outstanding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63" w:lineRule="exact"/>
        <w:rPr>
          <w:sz w:val="20"/>
          <w:szCs w:val="20"/>
          <w:color w:val="auto"/>
        </w:rPr>
      </w:pPr>
    </w:p>
    <w:p>
      <w:pPr>
        <w:ind w:right="100"/>
        <w:spacing w:after="0" w:line="307" w:lineRule="auto"/>
        <w:rPr>
          <w:sz w:val="20"/>
          <w:szCs w:val="20"/>
          <w:color w:val="auto"/>
        </w:rPr>
      </w:pPr>
      <w:r>
        <w:rPr>
          <w:rFonts w:ascii="Arial" w:cs="Arial" w:eastAsia="Arial" w:hAnsi="Arial"/>
          <w:sz w:val="19"/>
          <w:szCs w:val="19"/>
          <w:color w:val="auto"/>
        </w:rPr>
        <w:t>Any holder’s shares of Class B Common Stock will convert automatically into Class A Common Stock, on a one-to-one basis, upon the following: (1) sale or transfer of such share of Class B Common Stock; (2) the death of the holder of Class B Common Stock; and (3) on the final conversion date, defined as the earliest of (a) the first trading day falling nine months after the date on which the outstanding shares of Class B Common Stock represent less than 10% of the aggregate number of shares then outstanding of Class A Common Stock and Class B Common Stock; (b) the tenth anniversary of effectiveness under the DGCL of the amended and restated certificate of incorporation immediately prior to our initial public offering, and (c) the date specified by the holders of a majority of then-outstanding shares of Class B Common Stock, voting together as a single class.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Once transferred and converted into Class A Common Stock, the Class B Common Stock may not be reissued.</w:t>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Preferred Stock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Maturity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Series A Preferred Stock is perpetual with no fixed maturity 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Ranking</w:t>
      </w:r>
    </w:p>
    <w:p>
      <w:pPr>
        <w:spacing w:after="0" w:line="229" w:lineRule="exact"/>
        <w:rPr>
          <w:sz w:val="20"/>
          <w:szCs w:val="20"/>
          <w:color w:val="auto"/>
        </w:rPr>
      </w:pPr>
    </w:p>
    <w:p>
      <w:pPr>
        <w:ind w:right="520"/>
        <w:spacing w:after="0" w:line="317" w:lineRule="auto"/>
        <w:rPr>
          <w:sz w:val="20"/>
          <w:szCs w:val="20"/>
          <w:color w:val="auto"/>
        </w:rPr>
      </w:pPr>
      <w:r>
        <w:rPr>
          <w:rFonts w:ascii="Arial" w:cs="Arial" w:eastAsia="Arial" w:hAnsi="Arial"/>
          <w:sz w:val="20"/>
          <w:szCs w:val="20"/>
          <w:color w:val="auto"/>
        </w:rPr>
        <w:t>The Series A Preferred Stock ranks superior to all of our junior common stock, including both the Class A Common Stock and Class B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229" w:lineRule="exact"/>
        <w:rPr>
          <w:sz w:val="20"/>
          <w:szCs w:val="20"/>
          <w:color w:val="auto"/>
        </w:rPr>
      </w:pPr>
    </w:p>
    <w:p>
      <w:pPr>
        <w:ind w:right="20"/>
        <w:spacing w:after="0" w:line="335" w:lineRule="auto"/>
        <w:rPr>
          <w:sz w:val="20"/>
          <w:szCs w:val="20"/>
          <w:color w:val="auto"/>
        </w:rPr>
      </w:pPr>
      <w:r>
        <w:rPr>
          <w:rFonts w:ascii="Arial" w:cs="Arial" w:eastAsia="Arial" w:hAnsi="Arial"/>
          <w:sz w:val="18"/>
          <w:szCs w:val="18"/>
          <w:color w:val="auto"/>
        </w:rPr>
        <w:t>Holders of Series A Preferred Stock are entitled to one vote per share, on an as-converted basis, on all matters to be voted upon by the holders of Class A Common Stock and Class B Common Stock. Holders of Series A Preferred Stock generally vote together with the holders of the Class A Common Stock and Class B Common Stock as a single class on all matters submitted to a vote of our stockholders (including the election of directors), unless otherwise required by Delaware law or our amended and restated certificate of incorporation.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Investment Agreement, Carvana has agreed to vote its shares of Series A Preferred Stock (i) for our nominees for director and</w:t>
      </w:r>
    </w:p>
    <w:p>
      <w:pPr>
        <w:spacing w:after="0" w:line="86" w:lineRule="exact"/>
        <w:rPr>
          <w:sz w:val="20"/>
          <w:szCs w:val="20"/>
          <w:color w:val="auto"/>
        </w:rPr>
      </w:pPr>
    </w:p>
    <w:p>
      <w:pPr>
        <w:ind w:left="300" w:hanging="292"/>
        <w:spacing w:after="0"/>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same proportion as unaffiliated stockholders with respect to all other proposals. “Unaffiliated stockholders” shall not include any of</w:t>
      </w:r>
    </w:p>
    <w:p>
      <w:pPr>
        <w:spacing w:after="0" w:line="76" w:lineRule="exact"/>
        <w:rPr>
          <w:rFonts w:ascii="Arial" w:cs="Arial" w:eastAsia="Arial" w:hAnsi="Arial"/>
          <w:sz w:val="18"/>
          <w:szCs w:val="18"/>
          <w:color w:val="auto"/>
        </w:rPr>
      </w:pPr>
    </w:p>
    <w:p>
      <w:pPr>
        <w:ind w:right="220"/>
        <w:spacing w:after="0" w:line="292" w:lineRule="auto"/>
        <w:rPr>
          <w:rFonts w:ascii="Arial" w:cs="Arial" w:eastAsia="Arial" w:hAnsi="Arial"/>
          <w:sz w:val="18"/>
          <w:szCs w:val="18"/>
          <w:color w:val="auto"/>
        </w:rPr>
      </w:pPr>
      <w:r>
        <w:rPr>
          <w:rFonts w:ascii="Arial" w:cs="Arial" w:eastAsia="Arial" w:hAnsi="Arial"/>
          <w:sz w:val="20"/>
          <w:szCs w:val="20"/>
          <w:color w:val="auto"/>
        </w:rPr>
        <w:t>our current directors or officers or any other beneficial owner of more than 5.0% (determined on a fully diluted basis) of our outstanding Class A Common Stock and Class B Common Stock (other than investors that are eligible to file a Schedule 13G with the SEC pursuant to Rule 13d-1(b) under the Exchange Act) and any affiliate of any of the foregoing persons.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Our amended and restated certificate of incorporation does not provide for cumulative voting for the 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Rights</w:t>
      </w:r>
    </w:p>
    <w:p>
      <w:pPr>
        <w:spacing w:after="0" w:line="216" w:lineRule="exact"/>
        <w:rPr>
          <w:sz w:val="20"/>
          <w:szCs w:val="20"/>
          <w:color w:val="auto"/>
        </w:rPr>
      </w:pPr>
    </w:p>
    <w:p>
      <w:pPr>
        <w:ind w:right="380"/>
        <w:spacing w:after="0" w:line="335" w:lineRule="auto"/>
        <w:rPr>
          <w:sz w:val="20"/>
          <w:szCs w:val="20"/>
          <w:color w:val="auto"/>
        </w:rPr>
      </w:pPr>
      <w:r>
        <w:rPr>
          <w:rFonts w:ascii="Arial" w:cs="Arial" w:eastAsia="Arial" w:hAnsi="Arial"/>
          <w:sz w:val="18"/>
          <w:szCs w:val="18"/>
          <w:color w:val="auto"/>
        </w:rPr>
        <w:t>Holders of Series A Preferred Stock are not entitled to any dividends, except when, as and if declared by the board of directors at its own discretion out of funds legally available for that purpose following the fifth anniversary of the earlier of the date of completion of the development of an integrated automobile insurance solution for Carvana’s online car buying platform or 18 months following October 1, 2021, following which holders of Series A Preferred Stock are entitled to dividends at a rate of 5.0% per annum.</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w:t>
      </w:r>
    </w:p>
    <w:p>
      <w:pPr>
        <w:sectPr>
          <w:pgSz w:w="11900" w:h="16838" w:orient="portrait"/>
          <w:cols w:equalWidth="0" w:num="1">
            <w:col w:w="11220"/>
          </w:cols>
          <w:pgMar w:left="320" w:top="1440" w:right="359" w:bottom="1440" w:gutter="0" w:footer="0" w:header="0"/>
        </w:sectPr>
      </w:pPr>
    </w:p>
    <w:bookmarkStart w:id="181" w:name="page182"/>
    <w:bookmarkEnd w:id="181"/>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 to Receive Liquidation Distributions</w:t>
      </w:r>
    </w:p>
    <w:p>
      <w:pPr>
        <w:spacing w:after="0" w:line="229" w:lineRule="exact"/>
        <w:rPr>
          <w:sz w:val="20"/>
          <w:szCs w:val="20"/>
          <w:color w:val="auto"/>
        </w:rPr>
      </w:pPr>
    </w:p>
    <w:p>
      <w:pPr>
        <w:ind w:right="420"/>
        <w:spacing w:after="0" w:line="346"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Series A Preferred Stock, subject to prior satisfaction of all outstanding debt and liabilities, unless a different treatment is approved by the affirmative vote of the holders of a majority of the Series A Preferred Stock, voting separately as a class.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Matters</w:t>
      </w:r>
    </w:p>
    <w:p>
      <w:pPr>
        <w:spacing w:after="0" w:line="229"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Our Series A Preferred Stock are not entitled to preemptive rights, and are not subject to conversion, redemption or sinking fund provisions, except for the conversion provisions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229"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Each outstanding share of Series A Preferred Stock is convertible at any time at the option of the holder into a number of shares of Class A Common Stock equal to the Initial Liquidation Preference plus the amount of any accrued but unpaid dividends thereon as of such date (the “Liquidation Preference) divided by the Conversion Price. In the event that dividends or distributions payable in shares of the Class A Common Stock or Class B Common Stock are paid on the Class A Common Stock or Class B Common Stock, the new conversion price will be the Conversion Price, multiplied by the quotient, rounded to the nearest one-thousandth, of (i) the number of shares of the Class A Common Stock and Class B Common Stock, taken together, outstanding immediately prior to the effectiveness of such an event divided by</w:t>
      </w:r>
    </w:p>
    <w:p>
      <w:pPr>
        <w:spacing w:after="0" w:line="1" w:lineRule="exact"/>
        <w:rPr>
          <w:sz w:val="20"/>
          <w:szCs w:val="20"/>
          <w:color w:val="auto"/>
        </w:rPr>
      </w:pPr>
    </w:p>
    <w:p>
      <w:pPr>
        <w:ind w:right="40" w:firstLine="8"/>
        <w:spacing w:after="0" w:line="317" w:lineRule="auto"/>
        <w:tabs>
          <w:tab w:leader="none" w:pos="291"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number of shares of the Class A Common Stock and Class B Common Stock, taken together, outstanding immediately following, and solely as a result of, such an event.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Series A Preferred Stock is mandatorily convertible or redeemable in connection with any change of control of Root, Inc.</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235"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We are party to an investors’ rights agreement that provides holders of a substantial number of shares with rights, subject to certain conditions, to require us to file registration statements covering the sale of their shares or to include their shares in registration statements that we may file for ourselves or other stockholders. The registration of shares of our common stock by the exercise of such registration rights would enable the holders of such shares to sell these shares without restriction under the Securities Act of 1933, as amended (the “Securities Act”), when the applicable registration statement is declared effective. We will pay the registration expenses, other than underwriting discounts and commissions, of the shares registered pursuant to such registration rights. The registration rights under our investors’ rights agreement will terminate five years after the closing of our initial public offering, or with respect to any particular stockholder, such time after the closing of our initial public offering that such stockholder can sell all of its shares entitled to registration rights under Rule 144 of the Securities Act during any 90-day period.</w:t>
      </w:r>
    </w:p>
    <w:p>
      <w:pPr>
        <w:spacing w:after="0" w:line="139"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We are party to a registration rights agreement with Carvana that provides Carvana with rights, subject to certain conditions, to require us to file registration statements covering the sale of their shares or to</w:t>
      </w:r>
    </w:p>
    <w:p>
      <w:pPr>
        <w:sectPr>
          <w:pgSz w:w="11900" w:h="16838" w:orient="portrait"/>
          <w:cols w:equalWidth="0" w:num="1">
            <w:col w:w="11220"/>
          </w:cols>
          <w:pgMar w:left="320" w:top="1440" w:right="359" w:bottom="1440" w:gutter="0" w:footer="0" w:header="0"/>
        </w:sectPr>
      </w:pPr>
    </w:p>
    <w:bookmarkStart w:id="182" w:name="page183"/>
    <w:bookmarkEnd w:id="182"/>
    <w:p>
      <w:pPr>
        <w:spacing w:after="0" w:line="182"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include its shares in registration statements that we may file for ourselves or other stockholders. The registration of shares of our common stock by the exercise of such registration rights would enable the holder of such shares to sell these shares without restriction under the Securities Act when the applicable registration statement is declared effective. We will pay the registration expenses, other than underwriting discounts and commissions, of the shares registered pursuant to such registration rights.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20"/>
          <w:szCs w:val="20"/>
          <w:color w:val="auto"/>
        </w:rPr>
        <w:t>We are party to a registration rights agreement with certain subsidiaries of BlackRock Financial Management, Inc. (collectively, “BlackRock”) that provides BlackRock with rights, subject to certain conditions, to require us to include its shares in registration statements that we may file for ourselves or other stockholders. The registration of shares of our common stock by the exercise of such registration rights would enable the holder of such shares to sell these shares without restriction under the Securities Act when the applicable registration statement is declared effective. We will pay the registration expenses, other than underwriting discounts and commissions, of the shares registered pursuant to such registration rights.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222" w:lineRule="exact"/>
        <w:rPr>
          <w:sz w:val="20"/>
          <w:szCs w:val="20"/>
          <w:color w:val="auto"/>
        </w:rPr>
      </w:pPr>
    </w:p>
    <w:p>
      <w:pPr>
        <w:ind w:right="20"/>
        <w:spacing w:after="0" w:line="333"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Meetings</w:t>
      </w:r>
    </w:p>
    <w:p>
      <w:pPr>
        <w:spacing w:after="0" w:line="229" w:lineRule="exact"/>
        <w:rPr>
          <w:sz w:val="20"/>
          <w:szCs w:val="20"/>
          <w:color w:val="auto"/>
        </w:rPr>
      </w:pPr>
    </w:p>
    <w:p>
      <w:pPr>
        <w:ind w:right="400"/>
        <w:spacing w:after="0" w:line="303" w:lineRule="auto"/>
        <w:rPr>
          <w:sz w:val="20"/>
          <w:szCs w:val="20"/>
          <w:color w:val="auto"/>
        </w:rPr>
      </w:pPr>
      <w:r>
        <w:rPr>
          <w:rFonts w:ascii="Arial" w:cs="Arial" w:eastAsia="Arial" w:hAnsi="Arial"/>
          <w:sz w:val="20"/>
          <w:szCs w:val="20"/>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Requirements for Advance Notification of Stockholder Nominations and Proposals</w:t>
      </w:r>
    </w:p>
    <w:p>
      <w:pPr>
        <w:spacing w:after="0" w:line="216" w:lineRule="exact"/>
        <w:rPr>
          <w:sz w:val="20"/>
          <w:szCs w:val="20"/>
          <w:color w:val="auto"/>
        </w:rPr>
      </w:pPr>
    </w:p>
    <w:p>
      <w:pPr>
        <w:ind w:right="360"/>
        <w:spacing w:after="0" w:line="299" w:lineRule="auto"/>
        <w:rPr>
          <w:sz w:val="20"/>
          <w:szCs w:val="20"/>
          <w:color w:val="auto"/>
        </w:rPr>
      </w:pPr>
      <w:r>
        <w:rPr>
          <w:rFonts w:ascii="Arial" w:cs="Arial" w:eastAsia="Arial" w:hAnsi="Arial"/>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ectPr>
          <w:pgSz w:w="11900" w:h="16838" w:orient="portrait"/>
          <w:cols w:equalWidth="0" w:num="1">
            <w:col w:w="11180"/>
          </w:cols>
          <w:pgMar w:left="320" w:top="1440" w:right="399" w:bottom="1440" w:gutter="0" w:footer="0" w:header="0"/>
        </w:sectPr>
      </w:pPr>
    </w:p>
    <w:bookmarkStart w:id="183" w:name="page184"/>
    <w:bookmarkEnd w:id="183"/>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Elimination of Stockholder Action by Written Consent</w:t>
      </w:r>
    </w:p>
    <w:p>
      <w:pPr>
        <w:spacing w:after="0" w:line="229"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Our amended and restated certificate of incorporation and amended and restated bylaws eliminate the right of stockholders to act by written consent without a meeting.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Staggered Board</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20"/>
          <w:szCs w:val="20"/>
          <w:color w:val="auto"/>
        </w:rPr>
        <w:t>Our board of directors is divided into three classes. The directors in each class serves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Removal of Directors</w:t>
      </w:r>
    </w:p>
    <w:p>
      <w:pPr>
        <w:spacing w:after="0" w:line="216" w:lineRule="exact"/>
        <w:rPr>
          <w:sz w:val="20"/>
          <w:szCs w:val="20"/>
          <w:color w:val="auto"/>
        </w:rPr>
      </w:pPr>
    </w:p>
    <w:p>
      <w:pPr>
        <w:ind w:right="80"/>
        <w:spacing w:after="0" w:line="321"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Stockholders Not Entitled to Cumulative Voting</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20"/>
          <w:szCs w:val="20"/>
          <w:color w:val="auto"/>
        </w:rPr>
        <w:t>Our amended and restated certificate of incorporation does not permit stockholders to cumulate their votes in the election of directors. Accordingly, the holders of a majority of the outstanding shares of our Class A Common Stock and Class B Common Stock entitled to vote in any election of directors can elect all of the directors standing for election, if they choose, other than any directors that holders of our Series A Preferred Stock may be entitled to elect.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Delaware Anti-Takeover Statute</w:t>
      </w:r>
    </w:p>
    <w:p>
      <w:pPr>
        <w:spacing w:after="0" w:line="229"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Choice of Forum</w:t>
      </w:r>
    </w:p>
    <w:p>
      <w:pPr>
        <w:spacing w:after="0" w:line="229" w:lineRule="exact"/>
        <w:rPr>
          <w:sz w:val="20"/>
          <w:szCs w:val="20"/>
          <w:color w:val="auto"/>
        </w:rPr>
      </w:pPr>
    </w:p>
    <w:p>
      <w:pPr>
        <w:ind w:right="220"/>
        <w:spacing w:after="0" w:line="299" w:lineRule="auto"/>
        <w:rPr>
          <w:sz w:val="20"/>
          <w:szCs w:val="20"/>
          <w:color w:val="auto"/>
        </w:rPr>
      </w:pPr>
      <w:r>
        <w:rPr>
          <w:rFonts w:ascii="Arial" w:cs="Arial" w:eastAsia="Arial" w:hAnsi="Arial"/>
          <w:sz w:val="20"/>
          <w:szCs w:val="20"/>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w:t>
      </w:r>
    </w:p>
    <w:p>
      <w:pPr>
        <w:sectPr>
          <w:pgSz w:w="11900" w:h="16838" w:orient="portrait"/>
          <w:cols w:equalWidth="0" w:num="1">
            <w:col w:w="11200"/>
          </w:cols>
          <w:pgMar w:left="320" w:top="1440" w:right="379" w:bottom="1440" w:gutter="0" w:footer="0" w:header="0"/>
        </w:sectPr>
      </w:pPr>
    </w:p>
    <w:bookmarkStart w:id="184" w:name="page185"/>
    <w:bookmarkEnd w:id="184"/>
    <w:p>
      <w:pPr>
        <w:spacing w:after="0" w:line="182" w:lineRule="exact"/>
        <w:rPr>
          <w:sz w:val="20"/>
          <w:szCs w:val="20"/>
          <w:color w:val="auto"/>
        </w:rPr>
      </w:pPr>
    </w:p>
    <w:p>
      <w:pPr>
        <w:ind w:right="20"/>
        <w:spacing w:after="0" w:line="322" w:lineRule="auto"/>
        <w:rPr>
          <w:sz w:val="20"/>
          <w:szCs w:val="20"/>
          <w:color w:val="auto"/>
        </w:rPr>
      </w:pPr>
      <w:r>
        <w:rPr>
          <w:rFonts w:ascii="Arial" w:cs="Arial" w:eastAsia="Arial" w:hAnsi="Arial"/>
          <w:sz w:val="18"/>
          <w:szCs w:val="18"/>
          <w:color w:val="auto"/>
        </w:rPr>
        <w:t>subject matter jurisdiction, the federal district court for the District of Delaware) is the sole and exclusive forum for the following claims or causes of action under Delaware statutory or common law: (i) any derivative claim or cause of action brought on our behalf; (ii) any claim or cause of action asserting a claim of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This choice of forum provision would not apply to suits brought to enforce a duty or liability created by the Exchange Act or any other claim for which the federal courts have exclusive jurisdiction, or the Securities Act.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of Charter Provisions</w:t>
      </w:r>
    </w:p>
    <w:p>
      <w:pPr>
        <w:spacing w:after="0" w:line="216" w:lineRule="exact"/>
        <w:rPr>
          <w:sz w:val="20"/>
          <w:szCs w:val="20"/>
          <w:color w:val="auto"/>
        </w:rPr>
      </w:pPr>
    </w:p>
    <w:p>
      <w:pPr>
        <w:spacing w:after="0" w:line="346"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99" w:lineRule="exact"/>
        <w:rPr>
          <w:sz w:val="20"/>
          <w:szCs w:val="20"/>
          <w:color w:val="auto"/>
        </w:rPr>
      </w:pPr>
    </w:p>
    <w:p>
      <w:pPr>
        <w:ind w:right="120"/>
        <w:spacing w:after="0" w:line="326"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Exchange Listing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Our Class A Common Stock is listed on the Nasdaq Stock Market under the symbol “ROOT.”</w:t>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35" w:lineRule="exact"/>
        <w:rPr>
          <w:sz w:val="20"/>
          <w:szCs w:val="20"/>
          <w:color w:val="auto"/>
        </w:rPr>
      </w:pPr>
    </w:p>
    <w:p>
      <w:pPr>
        <w:spacing w:after="0" w:line="299" w:lineRule="auto"/>
        <w:rPr>
          <w:sz w:val="20"/>
          <w:szCs w:val="20"/>
          <w:color w:val="auto"/>
        </w:rPr>
      </w:pPr>
      <w:r>
        <w:rPr>
          <w:rFonts w:ascii="Arial" w:cs="Arial" w:eastAsia="Arial" w:hAnsi="Arial"/>
          <w:sz w:val="20"/>
          <w:szCs w:val="20"/>
          <w:color w:val="auto"/>
        </w:rPr>
        <w:t>The transfer agent and registrar for our Class A Common Stock, Class B Common Stock and preferred stock is American Stock Transfer &amp; Trust Company, LLC. The transfer agent’s address is 6201 15th Avenue, Brooklyn, New York 11219 and the telephone number is (800) 937-5449.</w:t>
      </w:r>
    </w:p>
    <w:p>
      <w:pPr>
        <w:sectPr>
          <w:pgSz w:w="11900" w:h="16838" w:orient="portrait"/>
          <w:cols w:equalWidth="0" w:num="1">
            <w:col w:w="11160"/>
          </w:cols>
          <w:pgMar w:left="320" w:top="1440" w:right="41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10.34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and Transition Agreement</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This Separation and Transition Agreement (the “</w:t>
      </w:r>
      <w:r>
        <w:rPr>
          <w:rFonts w:ascii="Arial" w:cs="Arial" w:eastAsia="Arial" w:hAnsi="Arial"/>
          <w:sz w:val="19"/>
          <w:szCs w:val="19"/>
          <w:b w:val="1"/>
          <w:bCs w:val="1"/>
          <w:color w:val="auto"/>
        </w:rPr>
        <w:t>Transition Agreement</w:t>
      </w:r>
      <w:r>
        <w:rPr>
          <w:rFonts w:ascii="Arial" w:cs="Arial" w:eastAsia="Arial" w:hAnsi="Arial"/>
          <w:sz w:val="19"/>
          <w:szCs w:val="19"/>
          <w:color w:val="auto"/>
        </w:rPr>
        <w:t>”) is made and entered into by and between Root,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Root</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and Daniel Rosenthal, an individual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WHEREAS</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has been employed by the Company on an at-will basis as Chief Financial Officer (“</w:t>
      </w:r>
      <w:r>
        <w:rPr>
          <w:rFonts w:ascii="Arial" w:cs="Arial" w:eastAsia="Arial" w:hAnsi="Arial"/>
          <w:sz w:val="22"/>
          <w:szCs w:val="22"/>
          <w:b w:val="1"/>
          <w:bCs w:val="1"/>
          <w:color w:val="auto"/>
        </w:rPr>
        <w:t>CFO</w:t>
      </w:r>
      <w:r>
        <w:rPr>
          <w:rFonts w:ascii="Arial" w:cs="Arial" w:eastAsia="Arial" w:hAnsi="Arial"/>
          <w:sz w:val="22"/>
          <w:szCs w:val="22"/>
          <w:color w:val="auto"/>
        </w:rPr>
        <w:t xml:space="preserve">”) and </w:t>
      </w:r>
      <w:r>
        <w:rPr>
          <w:rFonts w:ascii="Arial" w:cs="Arial" w:eastAsia="Arial" w:hAnsi="Arial"/>
          <w:sz w:val="22"/>
          <w:szCs w:val="22"/>
          <w:color w:val="1D1D21"/>
        </w:rPr>
        <w:t>Chief Revenue &amp; Operations Officer (“</w:t>
      </w:r>
      <w:r>
        <w:rPr>
          <w:rFonts w:ascii="Arial" w:cs="Arial" w:eastAsia="Arial" w:hAnsi="Arial"/>
          <w:sz w:val="22"/>
          <w:szCs w:val="22"/>
          <w:b w:val="1"/>
          <w:bCs w:val="1"/>
          <w:color w:val="1D1D21"/>
        </w:rPr>
        <w:t>CROO</w:t>
      </w:r>
      <w:r>
        <w:rPr>
          <w:rFonts w:ascii="Arial" w:cs="Arial" w:eastAsia="Arial" w:hAnsi="Arial"/>
          <w:sz w:val="22"/>
          <w:szCs w:val="22"/>
          <w:color w:val="1D1D21"/>
        </w:rPr>
        <w:t xml:space="preserve">”) </w:t>
      </w:r>
      <w:r>
        <w:rPr>
          <w:rFonts w:ascii="Arial" w:cs="Arial" w:eastAsia="Arial" w:hAnsi="Arial"/>
          <w:sz w:val="22"/>
          <w:szCs w:val="22"/>
          <w:color w:val="000000"/>
        </w:rPr>
        <w:t>pursuant to that certain Executive Employment Agreement, dated February 24,</w:t>
      </w:r>
      <w:r>
        <w:rPr>
          <w:rFonts w:ascii="Arial" w:cs="Arial" w:eastAsia="Arial" w:hAnsi="Arial"/>
          <w:sz w:val="22"/>
          <w:szCs w:val="22"/>
          <w:color w:val="1D1D21"/>
        </w:rPr>
        <w:t xml:space="preserve"> </w:t>
      </w:r>
      <w:r>
        <w:rPr>
          <w:rFonts w:ascii="Arial" w:cs="Arial" w:eastAsia="Arial" w:hAnsi="Arial"/>
          <w:sz w:val="22"/>
          <w:szCs w:val="22"/>
          <w:color w:val="000000"/>
        </w:rPr>
        <w:t>2021 (“</w:t>
      </w:r>
      <w:r>
        <w:rPr>
          <w:rFonts w:ascii="Arial" w:cs="Arial" w:eastAsia="Arial" w:hAnsi="Arial"/>
          <w:sz w:val="22"/>
          <w:szCs w:val="22"/>
          <w:b w:val="1"/>
          <w:bCs w:val="1"/>
          <w:color w:val="000000"/>
        </w:rPr>
        <w:t>Employment Agreement</w:t>
      </w:r>
      <w:r>
        <w:rPr>
          <w:rFonts w:ascii="Arial" w:cs="Arial" w:eastAsia="Arial" w:hAnsi="Arial"/>
          <w:sz w:val="22"/>
          <w:szCs w:val="22"/>
          <w:color w:val="000000"/>
        </w:rPr>
        <w: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on February 20, 2023, Executive announced his intent to voluntarily resign from his positions as CFO and CROO with the Company effective March 23, 2023;</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on February 20, 2023, Executive also announced his intent to voluntarily resign as a member of the Company’s Board of Directors, effective immediately;</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WHEREAS, both Executive and the Company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desire and intend to amicably sever the employment relationship between them;</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WHEREAS, both Parties have read and understand the terms of this Transition Agreement, and both Parties have been provided with reasonable opportunities to consult with their respective legal counsel prior to entering this Transition Agreement.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THEREFORE, the Parties hereby agree as follows:</w:t>
      </w:r>
    </w:p>
    <w:p>
      <w:pPr>
        <w:spacing w:after="0" w:line="200" w:lineRule="exact"/>
        <w:rPr>
          <w:sz w:val="20"/>
          <w:szCs w:val="20"/>
          <w:color w:val="auto"/>
        </w:rPr>
      </w:pPr>
    </w:p>
    <w:p>
      <w:pPr>
        <w:jc w:val="both"/>
        <w:ind w:firstLine="656"/>
        <w:spacing w:after="0" w:line="222" w:lineRule="auto"/>
        <w:tabs>
          <w:tab w:leader="none" w:pos="1296"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Last Day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last day of employment with the Company will be March 23, 2023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Separation Date</w:t>
      </w:r>
      <w:r>
        <w:rPr>
          <w:rFonts w:ascii="Arial" w:cs="Arial" w:eastAsia="Arial" w:hAnsi="Arial"/>
          <w:sz w:val="21"/>
          <w:szCs w:val="21"/>
          <w:color w:val="auto"/>
        </w:rPr>
        <w:t>”). Regardless of whether Executive signs this Transition Agreement, Executive will be paid all wages earned and payable, together with any accrued and unused paid time off (as governed by Company policy on pay at termination), through Executive’s last day of employment, subject to all applicable taxes and withholdings, no later than the next regularly scheduled payday following Executive’s separation, unless sooner as required by law. Executive will also be reimbursed for all necessary and reasonable business-related expenses Executive incurred through the Separation Date, in accordance with Company policy. From and after the Separation Date, Executive shall not be, nor shall Executive represent that he is an employee, officer, representative or agent of the Company.</w:t>
      </w:r>
    </w:p>
    <w:p>
      <w:pPr>
        <w:spacing w:after="0" w:line="184" w:lineRule="exact"/>
        <w:rPr>
          <w:rFonts w:ascii="Arial" w:cs="Arial" w:eastAsia="Arial" w:hAnsi="Arial"/>
          <w:sz w:val="21"/>
          <w:szCs w:val="21"/>
          <w:b w:val="1"/>
          <w:bCs w:val="1"/>
          <w:color w:val="auto"/>
        </w:rPr>
      </w:pPr>
    </w:p>
    <w:p>
      <w:pPr>
        <w:jc w:val="both"/>
        <w:ind w:firstLine="656"/>
        <w:spacing w:after="0" w:line="212" w:lineRule="auto"/>
        <w:tabs>
          <w:tab w:leader="none" w:pos="1296"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Transition Period and Consideration</w:t>
      </w:r>
      <w:r>
        <w:rPr>
          <w:rFonts w:ascii="Arial" w:cs="Arial" w:eastAsia="Arial" w:hAnsi="Arial"/>
          <w:sz w:val="22"/>
          <w:szCs w:val="22"/>
          <w:color w:val="auto"/>
        </w:rPr>
        <w:t>. In consideration of Executive’s agreements and undertakings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Transition Agreement, including but not limited to, the Release set forth in Paragraph 5 below, and provided that Executive complies with the terms of this Transition Agreement and signs the Supplemental Release of Claims, attached hereto as </w:t>
      </w:r>
      <w:r>
        <w:rPr>
          <w:rFonts w:ascii="Arial" w:cs="Arial" w:eastAsia="Arial" w:hAnsi="Arial"/>
          <w:sz w:val="22"/>
          <w:szCs w:val="22"/>
          <w:b w:val="1"/>
          <w:bCs w:val="1"/>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22"/>
          <w:szCs w:val="22"/>
          <w:color w:val="auto"/>
        </w:rPr>
        <w:t>, upon the Separation Date (the “</w:t>
      </w:r>
      <w:r>
        <w:rPr>
          <w:rFonts w:ascii="Arial" w:cs="Arial" w:eastAsia="Arial" w:hAnsi="Arial"/>
          <w:sz w:val="22"/>
          <w:szCs w:val="22"/>
          <w:b w:val="1"/>
          <w:bCs w:val="1"/>
          <w:color w:val="auto"/>
        </w:rPr>
        <w:t>Supplemental Release</w:t>
      </w:r>
      <w:r>
        <w:rPr>
          <w:rFonts w:ascii="Arial" w:cs="Arial" w:eastAsia="Arial" w:hAnsi="Arial"/>
          <w:sz w:val="22"/>
          <w:szCs w:val="22"/>
          <w:color w:val="auto"/>
        </w:rPr>
        <w:t>”), Executive shall retain his officer positions and remain on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payroll at Executive’s current salary through and until the Separation Date (the “</w:t>
      </w:r>
      <w:r>
        <w:rPr>
          <w:rFonts w:ascii="Arial" w:cs="Arial" w:eastAsia="Arial" w:hAnsi="Arial"/>
          <w:sz w:val="22"/>
          <w:szCs w:val="22"/>
          <w:b w:val="1"/>
          <w:bCs w:val="1"/>
          <w:color w:val="auto"/>
        </w:rPr>
        <w:t>Transition Period</w:t>
      </w:r>
      <w:r>
        <w:rPr>
          <w:rFonts w:ascii="Arial" w:cs="Arial" w:eastAsia="Arial" w:hAnsi="Arial"/>
          <w:sz w:val="22"/>
          <w:szCs w:val="22"/>
          <w:color w:val="auto"/>
        </w:rPr>
        <w:t xml:space="preserve">”). During the Transition Period, Executive will be expected to provide the transition services identified in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xml:space="preserve"> hereto in order to assist with the efficient transition of Executive’s duties. Executive agrees to undertake his best efforts to fulfill the Company’s transition related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90" w:right="339" w:bottom="1440" w:gutter="0" w:footer="0" w:header="0"/>
        </w:sectPr>
      </w:pPr>
    </w:p>
    <w:bookmarkStart w:id="187" w:name="page188"/>
    <w:bookmarkEnd w:id="187"/>
    <w:p>
      <w:pPr>
        <w:jc w:val="both"/>
        <w:spacing w:after="0" w:line="223" w:lineRule="auto"/>
        <w:rPr>
          <w:sz w:val="20"/>
          <w:szCs w:val="20"/>
          <w:color w:val="auto"/>
        </w:rPr>
      </w:pPr>
      <w:r>
        <w:rPr>
          <w:rFonts w:ascii="Arial" w:cs="Arial" w:eastAsia="Arial" w:hAnsi="Arial"/>
          <w:sz w:val="22"/>
          <w:szCs w:val="22"/>
          <w:color w:val="auto"/>
        </w:rPr>
        <w:t>Executive specifically acknowledges that, as set forth herein, the opportunity to earn compensation and applicable benefits during the Transition Period constitutes valuable consideration to which Executive is not otherwise entitled in exchange for Executive’s release of claims contained in this Transition Agreement.</w:t>
      </w:r>
    </w:p>
    <w:p>
      <w:pPr>
        <w:spacing w:after="0" w:line="180" w:lineRule="exact"/>
        <w:rPr>
          <w:sz w:val="20"/>
          <w:szCs w:val="20"/>
          <w:color w:val="auto"/>
        </w:rPr>
      </w:pPr>
    </w:p>
    <w:p>
      <w:pPr>
        <w:jc w:val="both"/>
        <w:ind w:firstLine="656"/>
        <w:spacing w:after="0" w:line="217" w:lineRule="auto"/>
        <w:tabs>
          <w:tab w:leader="none" w:pos="1296"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Consideration Upon the Separation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In further consideration of Executive’s agreements and undertakings</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Transition Agreement, including but not limited to, the Release set forth in Paragraph 5 below, and provided that Executive (i) complies with Paragraph 2 above, (ii) signs and does not revoke this Transition Agreement and (iii) signs and does not revoke the Supplemental Release upon the Separation Date, the Company agrees to provide Executive with the following Separation Benefits (the “</w:t>
      </w:r>
      <w:r>
        <w:rPr>
          <w:rFonts w:ascii="Arial" w:cs="Arial" w:eastAsia="Arial" w:hAnsi="Arial"/>
          <w:sz w:val="22"/>
          <w:szCs w:val="22"/>
          <w:b w:val="1"/>
          <w:bCs w:val="1"/>
          <w:color w:val="auto"/>
        </w:rPr>
        <w:t>Separation Benefits</w:t>
      </w:r>
      <w:r>
        <w:rPr>
          <w:rFonts w:ascii="Arial" w:cs="Arial" w:eastAsia="Arial" w:hAnsi="Arial"/>
          <w:sz w:val="22"/>
          <w:szCs w:val="22"/>
          <w:color w:val="auto"/>
        </w:rPr>
        <w:t>”):</w:t>
      </w:r>
    </w:p>
    <w:p>
      <w:pPr>
        <w:spacing w:after="0" w:line="185" w:lineRule="exact"/>
        <w:rPr>
          <w:sz w:val="20"/>
          <w:szCs w:val="20"/>
          <w:color w:val="auto"/>
        </w:rPr>
      </w:pPr>
    </w:p>
    <w:p>
      <w:pPr>
        <w:jc w:val="both"/>
        <w:ind w:left="980" w:hanging="324"/>
        <w:spacing w:after="0" w:line="223" w:lineRule="auto"/>
        <w:tabs>
          <w:tab w:leader="none" w:pos="977" w:val="left"/>
        </w:tabs>
        <w:numPr>
          <w:ilvl w:val="0"/>
          <w:numId w:val="80"/>
        </w:numPr>
        <w:rPr>
          <w:rFonts w:ascii="Arial" w:cs="Arial" w:eastAsia="Arial" w:hAnsi="Arial"/>
          <w:sz w:val="22"/>
          <w:szCs w:val="22"/>
          <w:color w:val="auto"/>
        </w:rPr>
      </w:pPr>
      <w:r>
        <w:rPr>
          <w:rFonts w:ascii="Arial" w:cs="Arial" w:eastAsia="Arial" w:hAnsi="Arial"/>
          <w:sz w:val="22"/>
          <w:szCs w:val="22"/>
          <w:color w:val="auto"/>
        </w:rPr>
        <w:t>A cash bonus in recognition of Executive’s 2022 performance in the gross amount of $750,000, less applicable withholdings and deductions, payable no later than March 3, 2023, or the date upon which all other similarly situated Company employees receive their 2022 annual performance bonus; and</w:t>
      </w:r>
    </w:p>
    <w:p>
      <w:pPr>
        <w:spacing w:after="0" w:line="185" w:lineRule="exact"/>
        <w:rPr>
          <w:rFonts w:ascii="Arial" w:cs="Arial" w:eastAsia="Arial" w:hAnsi="Arial"/>
          <w:sz w:val="22"/>
          <w:szCs w:val="22"/>
          <w:color w:val="auto"/>
        </w:rPr>
      </w:pPr>
    </w:p>
    <w:p>
      <w:pPr>
        <w:jc w:val="both"/>
        <w:ind w:left="980" w:hanging="324"/>
        <w:spacing w:after="0" w:line="242" w:lineRule="auto"/>
        <w:tabs>
          <w:tab w:leader="none" w:pos="975" w:val="left"/>
        </w:tabs>
        <w:numPr>
          <w:ilvl w:val="0"/>
          <w:numId w:val="80"/>
        </w:numPr>
        <w:rPr>
          <w:rFonts w:ascii="Arial" w:cs="Arial" w:eastAsia="Arial" w:hAnsi="Arial"/>
          <w:sz w:val="19"/>
          <w:szCs w:val="19"/>
          <w:color w:val="auto"/>
        </w:rPr>
      </w:pPr>
      <w:r>
        <w:rPr>
          <w:rFonts w:ascii="Arial" w:cs="Arial" w:eastAsia="Arial" w:hAnsi="Arial"/>
          <w:sz w:val="19"/>
          <w:szCs w:val="19"/>
          <w:color w:val="auto"/>
        </w:rPr>
        <w:t>Provided that Executive timely elects continued coverage under the Consolidated Omnibus Budget Reconciliation Action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for Executive and the Executive’s covered dependents following Executive’s separation, the Company shall pay the Company share of the COBRA premiums necessary to continue Executive’s and Executive’s covered dependents’ health insurance coverage that is in effect for Executive (and Executive’s covered dependents) as of the Separation Date. The COBRA coverage benefit will be maintained until the earliest of: (i) December 31, 2023;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Arial" w:cs="Arial" w:eastAsia="Arial" w:hAnsi="Arial"/>
          <w:sz w:val="19"/>
          <w:szCs w:val="19"/>
          <w:b w:val="1"/>
          <w:bCs w:val="1"/>
          <w:color w:val="auto"/>
        </w:rPr>
        <w:t>COBRA Payment Period</w:t>
      </w:r>
      <w:r>
        <w:rPr>
          <w:rFonts w:ascii="Arial" w:cs="Arial" w:eastAsia="Arial" w:hAnsi="Arial"/>
          <w:sz w:val="19"/>
          <w:szCs w:val="19"/>
          <w:color w:val="auto"/>
        </w:rPr>
        <w:t>”). Notwithstanding the foregoing, if at any time the Company determines that its payment of COBRA premiums on Executive’s behalf would result in a violation of applicable law, then in lieu of paying COBRA premiums pursuant to this Section 3(d), the Company shall pay Executive on the last day of each remaining month of the COBRA Payment Period, a fully taxable cash payment equal to the COBRA premium for such month, less applicable federal, state and local payroll taxes and other withholdings required by law, for the remainder of the COBRA Payment Period.</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Executive acknowledges that the Separation Benefits identified above constitute consideration to which Executive would not otherwise be entitled without executing this Transition Agreement and the Supplemental Release. Executive further acknowledges that the consideration identified in this Section 3 is not earned until all conditions of receipt have been satisfied. Executive further acknowledges that in the event that Executive (a) is terminated for Cause during the Transition Period; (b) voluntarily resigns during the Transition Period; or (c) does not take all necessary actions to cause the Supplemental Release to be effective within fourteen (14) days following the end of the Transition Period, Executive shall repay to the Company the entire 2022 performance bonus payable pursuant to Section 3(a) hereof, within thirty (30) days of the Company’s written demand for repayment.</w:t>
      </w:r>
    </w:p>
    <w:p>
      <w:pPr>
        <w:spacing w:after="0" w:line="186" w:lineRule="exact"/>
        <w:rPr>
          <w:sz w:val="20"/>
          <w:szCs w:val="20"/>
          <w:color w:val="auto"/>
        </w:rPr>
      </w:pPr>
    </w:p>
    <w:p>
      <w:pPr>
        <w:jc w:val="both"/>
        <w:ind w:firstLine="656"/>
        <w:spacing w:after="0" w:line="259" w:lineRule="auto"/>
        <w:tabs>
          <w:tab w:leader="none" w:pos="1296"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 in Full Satisfaction</w:t>
      </w:r>
      <w:r>
        <w:rPr>
          <w:rFonts w:ascii="Arial" w:cs="Arial" w:eastAsia="Arial" w:hAnsi="Arial"/>
          <w:sz w:val="19"/>
          <w:szCs w:val="19"/>
          <w:color w:val="auto"/>
        </w:rPr>
        <w:t>. Executive acknowledges that, where noted above, the arrangements, payments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described above are in lieu of and in full satisfaction of any amounts that might otherwise be payable under any contract, plan, policy or practice, past or present, of the Company, and any of its Affiliates, including but not limited any discretionary bonus or severance pay. Except as specifically described in this Transition Agreement,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88" w:name="page189"/>
    <w:bookmarkEnd w:id="188"/>
    <w:p>
      <w:pPr>
        <w:jc w:val="both"/>
        <w:spacing w:after="0" w:line="214" w:lineRule="auto"/>
        <w:rPr>
          <w:sz w:val="20"/>
          <w:szCs w:val="20"/>
          <w:color w:val="auto"/>
        </w:rPr>
      </w:pPr>
      <w:r>
        <w:rPr>
          <w:rFonts w:ascii="Arial" w:cs="Arial" w:eastAsia="Arial" w:hAnsi="Arial"/>
          <w:sz w:val="22"/>
          <w:szCs w:val="22"/>
          <w:color w:val="auto"/>
        </w:rPr>
        <w:t>shall not be eligible to participate or continue to participate in any employee benefit plans or compensation arrangements of the Company, or any of its Affiliates, subsequent to the Separation Date, including but not limited to with respect to any bonus or incentive compensation, or severance pay. Except as specifically described in this Transition Agreement, Executive agrees that other than the Separation Benefits, Executive has been paid all compensation, wages, bonuses, commissions due, and other consideration to which he may be entitled to from the Company and have been provided all leaves (paid or unpaid) to which Executive may be entitled.</w:t>
      </w:r>
    </w:p>
    <w:p>
      <w:pPr>
        <w:spacing w:after="0" w:line="180"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Release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1304"/>
        <w:spacing w:after="0"/>
        <w:tabs>
          <w:tab w:leader="none" w:pos="1941"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Executive Release</w:t>
      </w:r>
      <w:r>
        <w:rPr>
          <w:rFonts w:ascii="Arial" w:cs="Arial" w:eastAsia="Arial" w:hAnsi="Arial"/>
          <w:sz w:val="19"/>
          <w:szCs w:val="19"/>
          <w:color w:val="auto"/>
        </w:rPr>
        <w:t>. In consideration of the Company’s obligations set forth in this Transition Agreement, including but not limited to the payments and benefits described in Paragraphs 2 and 3 above, Executive voluntarily, knowingly and willingly releases and forever discharges the Company, and its Affiliates, together with their respective present or former officers, directors, partners, shareholders, employees, and each of their predecessors, successors and assigns, in their individual and official capacities (collectively, the “</w:t>
      </w:r>
      <w:r>
        <w:rPr>
          <w:rFonts w:ascii="Arial" w:cs="Arial" w:eastAsia="Arial" w:hAnsi="Arial"/>
          <w:sz w:val="19"/>
          <w:szCs w:val="19"/>
          <w:b w:val="1"/>
          <w:bCs w:val="1"/>
          <w:color w:val="auto"/>
        </w:rPr>
        <w:t>Company Releasees</w:t>
      </w:r>
      <w:r>
        <w:rPr>
          <w:rFonts w:ascii="Arial" w:cs="Arial" w:eastAsia="Arial" w:hAnsi="Arial"/>
          <w:sz w:val="19"/>
          <w:szCs w:val="19"/>
          <w:color w:val="auto"/>
        </w:rPr>
        <w:t>”) from any and all rights, claims, causes of action, charges, demands, damages and liabilities of every kind whatsoever, known or unknown, which Executive or Executive’s executors, administrators, successors or assigns ever had, now have or hereafter can, shall or may have by reason of any matter, cause or thing whatsoever arising from the beginning of time to the time Executive signs this Transition Agreement (the “</w:t>
      </w:r>
      <w:r>
        <w:rPr>
          <w:rFonts w:ascii="Arial" w:cs="Arial" w:eastAsia="Arial" w:hAnsi="Arial"/>
          <w:sz w:val="19"/>
          <w:szCs w:val="19"/>
          <w:b w:val="1"/>
          <w:bCs w:val="1"/>
          <w:color w:val="auto"/>
        </w:rPr>
        <w:t>Release</w:t>
      </w:r>
      <w:r>
        <w:rPr>
          <w:rFonts w:ascii="Arial" w:cs="Arial" w:eastAsia="Arial" w:hAnsi="Arial"/>
          <w:sz w:val="19"/>
          <w:szCs w:val="19"/>
          <w:color w:val="auto"/>
        </w:rPr>
        <w:t>”). This Release includes, but is not limited to, any rights or claims relating in any way to Executive’s employment relationship with the Company or any of the Releasees, or the separation of Executive’s employment, any rights or claims arising under any statute or regulation, including without limitation, Title VII of the Civil Rights Act of 1964, the Civil Rights Act of 1991, the Americans with Disabilities Act of 1990, the Family and Medical Leave Act of 1993, the Equal Pay Act of 1963, the Rehabilitation Act of 1973, the Employee Retirement Income Security Act of 1974, the anti-retaliation provisions of the Fair Labor Standards Act, the Genetic Information Nondiscrimination Act, the National Labor Relations Act, the Fair Credit Reporting Act, Section 1981 of the Civil Rights Act of 1866, the Worker Adjustment Retraining and Notification (“</w:t>
      </w:r>
      <w:r>
        <w:rPr>
          <w:rFonts w:ascii="Arial" w:cs="Arial" w:eastAsia="Arial" w:hAnsi="Arial"/>
          <w:sz w:val="19"/>
          <w:szCs w:val="19"/>
          <w:b w:val="1"/>
          <w:bCs w:val="1"/>
          <w:color w:val="auto"/>
        </w:rPr>
        <w:t>WARN</w:t>
      </w:r>
      <w:r>
        <w:rPr>
          <w:rFonts w:ascii="Arial" w:cs="Arial" w:eastAsia="Arial" w:hAnsi="Arial"/>
          <w:sz w:val="19"/>
          <w:szCs w:val="19"/>
          <w:color w:val="auto"/>
        </w:rPr>
        <w:t>”) Act and any state WARN statutes, each of the foregoing as amended, and any other federal, state or local law, regulation, ordinance or common law, or under any plan, program, policy, agreement, contract, understanding or promise, written or oral, formal or informal, between the Company and Executive, including but not limited to, any claim for severance pay, attorney’s fees, costs, and/or other fringe benefit of the Company, and any and all claims for alleged tortious, defamatory or fraudulent conduct.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4"/>
        <w:spacing w:after="0" w:line="243" w:lineRule="auto"/>
        <w:tabs>
          <w:tab w:leader="none" w:pos="1939" w:val="left"/>
        </w:tabs>
        <w:numPr>
          <w:ilvl w:val="1"/>
          <w:numId w:val="82"/>
        </w:numPr>
        <w:rPr>
          <w:rFonts w:ascii="Arial" w:cs="Arial" w:eastAsia="Arial" w:hAnsi="Arial"/>
          <w:sz w:val="19"/>
          <w:szCs w:val="19"/>
          <w:color w:val="auto"/>
        </w:rPr>
      </w:pPr>
      <w:r>
        <w:rPr>
          <w:rFonts w:ascii="Arial" w:cs="Arial" w:eastAsia="Arial" w:hAnsi="Arial"/>
          <w:sz w:val="19"/>
          <w:szCs w:val="19"/>
          <w:color w:val="auto"/>
        </w:rPr>
        <w:t>Notwithstanding the forgoing, nothing in this Transition Agreement shall serve to waive any claims or rights that, pursuant to law, cannot be waived or subject to a release of this kind, such as (i) claims for unemployment or workers’ compensation benefits; (ii) rights to vested benefits under any applicable retirement plans as of the Separation Date; (iii) claims arising under or to enforce the terms of this Transition Agreement; and/or (iv) any rights or claims that may arise after the date on which Executive executes this Agreement. Moreover, nothing herein shall be construed to prohibit Executive from filing a charge with, or participating in any investigation or proceeding conducted by, the Department of Labor, the Equal Employment Opportunity Commission or a comparable state or local agency; provided, however, that Executive agrees and covenants to waive Executive’s right to recover monetary damages in any such charge, complaint, or lawsuit filed by Executive or by any other person, organization, or other entity on Executive’s behalf with respect to the claims released by this Agreement. Nothing in this Transition Agreement shall prevent Executive from making disclosures that are protected under whistleblower provisions of applicable law, or from receiving an award for making such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89" w:name="page190"/>
    <w:bookmarkEnd w:id="189"/>
    <w:p>
      <w:pPr>
        <w:jc w:val="both"/>
        <w:ind w:firstLine="1304"/>
        <w:spacing w:after="0" w:line="252" w:lineRule="auto"/>
        <w:tabs>
          <w:tab w:leader="none" w:pos="1941"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Company Release</w:t>
      </w:r>
      <w:r>
        <w:rPr>
          <w:rFonts w:ascii="Arial" w:cs="Arial" w:eastAsia="Arial" w:hAnsi="Arial"/>
          <w:sz w:val="19"/>
          <w:szCs w:val="19"/>
          <w:color w:val="auto"/>
        </w:rPr>
        <w:t>. In consideration of Executive’s obligations set forth in this Transition Agreement, the Company, its officers and directors, and each of their successors and assigns (collectively, the “</w:t>
      </w:r>
      <w:r>
        <w:rPr>
          <w:rFonts w:ascii="Arial" w:cs="Arial" w:eastAsia="Arial" w:hAnsi="Arial"/>
          <w:sz w:val="19"/>
          <w:szCs w:val="19"/>
          <w:b w:val="1"/>
          <w:bCs w:val="1"/>
          <w:color w:val="auto"/>
        </w:rPr>
        <w:t>Company Releasors</w:t>
      </w:r>
      <w:r>
        <w:rPr>
          <w:rFonts w:ascii="Arial" w:cs="Arial" w:eastAsia="Arial" w:hAnsi="Arial"/>
          <w:sz w:val="19"/>
          <w:szCs w:val="19"/>
          <w:color w:val="auto"/>
        </w:rPr>
        <w:t>”) voluntarily, knowingly and willingly release and forever discharge Executive, his successors and assigns from any and all rights, claims, causes of actions, charges, demands and liabilities, known or unknown, which the Company Releasors had, now have, or hereafter can, shall or may have arising from the beginning of time to the time the Company signs this Transition Agreement.</w:t>
      </w:r>
    </w:p>
    <w:p>
      <w:pPr>
        <w:spacing w:after="0" w:line="169" w:lineRule="exact"/>
        <w:rPr>
          <w:rFonts w:ascii="Arial" w:cs="Arial" w:eastAsia="Arial" w:hAnsi="Arial"/>
          <w:sz w:val="19"/>
          <w:szCs w:val="19"/>
          <w:color w:val="auto"/>
        </w:rPr>
      </w:pPr>
    </w:p>
    <w:p>
      <w:pPr>
        <w:ind w:firstLine="656"/>
        <w:spacing w:after="0" w:line="305" w:lineRule="auto"/>
        <w:tabs>
          <w:tab w:leader="none" w:pos="1296"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D&amp;O Insurance</w:t>
      </w:r>
      <w:r>
        <w:rPr>
          <w:rFonts w:ascii="Arial" w:cs="Arial" w:eastAsia="Arial" w:hAnsi="Arial"/>
          <w:sz w:val="19"/>
          <w:szCs w:val="19"/>
          <w:color w:val="auto"/>
        </w:rPr>
        <w:t>. The Company warrants and represents that it currently has and will maintain Director and</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insurance coverage to the benefit of Executive pursuant to and in accordance with the Company’s current D&amp;O policy.</w:t>
      </w:r>
    </w:p>
    <w:p>
      <w:pPr>
        <w:spacing w:after="0" w:line="119" w:lineRule="exact"/>
        <w:rPr>
          <w:rFonts w:ascii="Arial" w:cs="Arial" w:eastAsia="Arial" w:hAnsi="Arial"/>
          <w:sz w:val="19"/>
          <w:szCs w:val="19"/>
          <w:b w:val="1"/>
          <w:bCs w:val="1"/>
          <w:color w:val="auto"/>
        </w:rPr>
      </w:pPr>
    </w:p>
    <w:p>
      <w:pPr>
        <w:jc w:val="both"/>
        <w:ind w:firstLine="656"/>
        <w:spacing w:after="0" w:line="241" w:lineRule="auto"/>
        <w:tabs>
          <w:tab w:leader="none" w:pos="1296"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Employment During Transition Period</w:t>
      </w:r>
      <w:r>
        <w:rPr>
          <w:rFonts w:ascii="Arial" w:cs="Arial" w:eastAsia="Arial" w:hAnsi="Arial"/>
          <w:sz w:val="19"/>
          <w:szCs w:val="19"/>
          <w:color w:val="auto"/>
        </w:rPr>
        <w:t>. The Company may terminate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before and during the Transition Period upon notice to Executive. If the Company terminates Executive’s employment for Cause during the Transition Period (as defined herein) or if Executive voluntarily resigns during the Transition Period, Executive will not be eligible to receive the Separation Benefits described in Paragraph 3 hereof or any continuing salary or benefits following the date of such termination. For purposes of this Transition Agreement, “</w:t>
      </w:r>
      <w:r>
        <w:rPr>
          <w:rFonts w:ascii="Arial" w:cs="Arial" w:eastAsia="Arial" w:hAnsi="Arial"/>
          <w:sz w:val="19"/>
          <w:szCs w:val="19"/>
          <w:b w:val="1"/>
          <w:bCs w:val="1"/>
          <w:color w:val="auto"/>
        </w:rPr>
        <w:t>Cause</w:t>
      </w:r>
      <w:r>
        <w:rPr>
          <w:rFonts w:ascii="Arial" w:cs="Arial" w:eastAsia="Arial" w:hAnsi="Arial"/>
          <w:sz w:val="19"/>
          <w:szCs w:val="19"/>
          <w:color w:val="auto"/>
        </w:rPr>
        <w:t>,” as determined by the Board of Directors of the Company in its reasonable judgment, means the occurrence of any of the following on Executive’s part during the Transition Period: (i) fraud related to Executive’s employment, theft, embezzlement, or conviction of or plea to a felony; (ii) material breach of any of Executive’s fiduciary duties as an employee of the Company; (iii) failure to diligently and competently perform any of the Company’s reasonable transition requests or failure to immediately return any Company property or confidential information in Executive’s possession upon the Company’s request; (iv) Executive’s violation of the material written rules, regulations, procedures, or policies relating to the conduct of employees of the Company; or (v) breach of any of the provisions set forth in Executive’s Employment Agreement. With respect to Causes described in this Paragraph as (ii)-(v) inclusive, Company shall provide written notice of any issue that it believes qualifies as Cause and provide Executive an opportunity to cure said Cause within ten (10) business days. If Executive cures the alleged Cause, it shall no longer be the basis for termination for Cause as defined herein. If the Company terminates Executive’s employment without Cause, as defined above, the Company will pay Executive for the remainder of the Transition Period as though Executive remained employed, and the Separation Benefits described in Section 3 (provided that Executive signs and does not revoke the Supplemental Release).</w:t>
      </w:r>
    </w:p>
    <w:p>
      <w:pPr>
        <w:spacing w:after="0" w:line="185" w:lineRule="exact"/>
        <w:rPr>
          <w:rFonts w:ascii="Arial" w:cs="Arial" w:eastAsia="Arial" w:hAnsi="Arial"/>
          <w:sz w:val="19"/>
          <w:szCs w:val="19"/>
          <w:b w:val="1"/>
          <w:bCs w:val="1"/>
          <w:color w:val="auto"/>
        </w:rPr>
      </w:pPr>
    </w:p>
    <w:p>
      <w:pPr>
        <w:jc w:val="both"/>
        <w:ind w:firstLine="656"/>
        <w:spacing w:after="0" w:line="217" w:lineRule="auto"/>
        <w:tabs>
          <w:tab w:leader="none" w:pos="1296"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hereby specifically represents, warrants, and confirms that Executive: has not filed</w:t>
      </w:r>
      <w:r>
        <w:rPr>
          <w:rFonts w:ascii="Arial" w:cs="Arial" w:eastAsia="Arial" w:hAnsi="Arial"/>
          <w:sz w:val="22"/>
          <w:szCs w:val="22"/>
          <w:b w:val="1"/>
          <w:bCs w:val="1"/>
          <w:color w:val="auto"/>
        </w:rPr>
        <w:t xml:space="preserve"> </w:t>
      </w:r>
      <w:r>
        <w:rPr>
          <w:rFonts w:ascii="Arial" w:cs="Arial" w:eastAsia="Arial" w:hAnsi="Arial"/>
          <w:sz w:val="22"/>
          <w:szCs w:val="22"/>
          <w:color w:val="auto"/>
        </w:rPr>
        <w:t>any claims, complaints, or actions of any kind against the Company Releasees with any court of law, or local, state, or federal government or agency; has not engaged in and is not aware of any unlawful conduct relating to the business of the Company and its Affiliates; and has not assigned or otherwise transferred any interest in any claim that Executive may have against the Company Releasees, or any one of them.</w:t>
      </w:r>
    </w:p>
    <w:p>
      <w:pPr>
        <w:spacing w:after="0" w:line="179"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Mutual 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both during the Transition Period and after the Separation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Executive shall not make, directly or indirectly, or encourage others to make, any disparaging remarks or send any disparaging communications, directly or indirectly, concerning the Company or any of its Affiliates, the business or management of Company or any of its Affiliates, or any of their respective officers, directors, board members, representatives or employees. Similarly, the Company agrees that both during the Transition Period and after the Separation Date, it shall instruct its current officers and directors to refrain from making any disparaging remarks or from sending any disparaging communications, directly or indirectly, concerning Executive, Executive’s employment or Executive’s service as officer and director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90" w:name="page191"/>
    <w:bookmarkEnd w:id="190"/>
    <w:p>
      <w:pPr>
        <w:jc w:val="both"/>
        <w:ind w:firstLine="656"/>
        <w:spacing w:after="0" w:line="222" w:lineRule="auto"/>
        <w:tabs>
          <w:tab w:leader="none" w:pos="1296"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Protected Activity</w:t>
      </w:r>
      <w:r>
        <w:rPr>
          <w:rFonts w:ascii="Arial" w:cs="Arial" w:eastAsia="Arial" w:hAnsi="Arial"/>
          <w:sz w:val="21"/>
          <w:szCs w:val="21"/>
          <w:color w:val="auto"/>
        </w:rPr>
        <w:t>. Nothing in this Transition Agreement is intended to or shall preclude Executive from</w:t>
      </w:r>
      <w:r>
        <w:rPr>
          <w:rFonts w:ascii="Arial" w:cs="Arial" w:eastAsia="Arial" w:hAnsi="Arial"/>
          <w:sz w:val="21"/>
          <w:szCs w:val="21"/>
          <w:b w:val="1"/>
          <w:bCs w:val="1"/>
          <w:color w:val="auto"/>
        </w:rPr>
        <w:t xml:space="preserve"> </w:t>
      </w:r>
      <w:r>
        <w:rPr>
          <w:rFonts w:ascii="Arial" w:cs="Arial" w:eastAsia="Arial" w:hAnsi="Arial"/>
          <w:sz w:val="21"/>
          <w:szCs w:val="21"/>
          <w:color w:val="auto"/>
        </w:rPr>
        <w:t>providing truthful information to, or participating in any investigation or proceeding conducted by, any federal, state or local government agency or self-regulatory organization; making any truthful statements or disclosures on any non-privileged subject matter in response to a valid subpoena, court order, regulatory request or other judicial, administrative, or legal process or otherwise as required by law, provided that the disclosure does not exceed the extent of disclosure required by such law, regulation, or order; reporting, without any prior authorization from or notification to the Company, possible violations of federal, state or local law or regulation, or any good faith allegation of criminal conduct, to any appropriate federal, state, or local official; or requesting or receiving confidential legal advice.</w:t>
      </w:r>
    </w:p>
    <w:p>
      <w:pPr>
        <w:spacing w:after="0" w:line="184" w:lineRule="exact"/>
        <w:rPr>
          <w:rFonts w:ascii="Arial" w:cs="Arial" w:eastAsia="Arial" w:hAnsi="Arial"/>
          <w:sz w:val="21"/>
          <w:szCs w:val="21"/>
          <w:b w:val="1"/>
          <w:bCs w:val="1"/>
          <w:color w:val="auto"/>
        </w:rPr>
      </w:pPr>
    </w:p>
    <w:p>
      <w:pPr>
        <w:jc w:val="both"/>
        <w:ind w:firstLine="656"/>
        <w:spacing w:after="0" w:line="222" w:lineRule="auto"/>
        <w:tabs>
          <w:tab w:leader="none" w:pos="1284"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Return of Company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agrees that upon the Company’s request during the Transition Period</w:t>
      </w:r>
      <w:r>
        <w:rPr>
          <w:rFonts w:ascii="Arial" w:cs="Arial" w:eastAsia="Arial" w:hAnsi="Arial"/>
          <w:sz w:val="21"/>
          <w:szCs w:val="21"/>
          <w:b w:val="1"/>
          <w:bCs w:val="1"/>
          <w:color w:val="auto"/>
        </w:rPr>
        <w:t xml:space="preserve"> </w:t>
      </w:r>
      <w:r>
        <w:rPr>
          <w:rFonts w:ascii="Arial" w:cs="Arial" w:eastAsia="Arial" w:hAnsi="Arial"/>
          <w:sz w:val="21"/>
          <w:szCs w:val="21"/>
          <w:color w:val="auto"/>
        </w:rPr>
        <w:t>and in any event, no later than the Separation Date, Executive shall return to the Company all files, memoranda, records, building and office access cards, ID cards, keys, databases, devices, software, equipment, and other Company property, including but not limited to all such items containing confidential information of the Company or its Affiliates, that have come into Executive’s possession or that Executive has received, acquired, or prepared in connection with Executive’s relationship with the Company. Executive further agrees that Executive will not retain any copies, duplicates, reproductions or excerpts of any property of the Company or its Affiliates, including but not limited to property containing confidential information of the Company or its Affiliates.</w:t>
      </w:r>
    </w:p>
    <w:p>
      <w:pPr>
        <w:spacing w:after="0" w:line="184" w:lineRule="exact"/>
        <w:rPr>
          <w:rFonts w:ascii="Arial" w:cs="Arial" w:eastAsia="Arial" w:hAnsi="Arial"/>
          <w:sz w:val="21"/>
          <w:szCs w:val="21"/>
          <w:b w:val="1"/>
          <w:bCs w:val="1"/>
          <w:color w:val="auto"/>
        </w:rPr>
      </w:pPr>
    </w:p>
    <w:p>
      <w:pPr>
        <w:jc w:val="both"/>
        <w:ind w:firstLine="656"/>
        <w:spacing w:after="0" w:line="217" w:lineRule="auto"/>
        <w:tabs>
          <w:tab w:leader="none" w:pos="1296"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Admission of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and the Company agree and acknowledge that neither this Transition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nor any of the considerations described in this Transition Agreement, shall constitute or be interpreted as an admission of liability of any kind by the other party or their Releasees that they have acted wrongfully or unlawfully with respect to any person, or that there are any rights whatsoever against the other party or their Releasees except as contained in this Transition Agreement.</w:t>
      </w:r>
    </w:p>
    <w:p>
      <w:pPr>
        <w:spacing w:after="0" w:line="179" w:lineRule="exact"/>
        <w:rPr>
          <w:rFonts w:ascii="Arial" w:cs="Arial" w:eastAsia="Arial" w:hAnsi="Arial"/>
          <w:sz w:val="22"/>
          <w:szCs w:val="22"/>
          <w:b w:val="1"/>
          <w:bCs w:val="1"/>
          <w:color w:val="auto"/>
        </w:rPr>
      </w:pPr>
    </w:p>
    <w:p>
      <w:pPr>
        <w:jc w:val="both"/>
        <w:ind w:firstLine="656"/>
        <w:spacing w:after="0" w:line="241" w:lineRule="auto"/>
        <w:tabs>
          <w:tab w:leader="none" w:pos="1296"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Cooperation</w:t>
      </w:r>
      <w:r>
        <w:rPr>
          <w:rFonts w:ascii="Arial" w:cs="Arial" w:eastAsia="Arial" w:hAnsi="Arial"/>
          <w:sz w:val="19"/>
          <w:szCs w:val="19"/>
          <w:color w:val="auto"/>
        </w:rPr>
        <w:t>. Executive agrees to provide reasonable cooperation to the Company in connection with its actual or</w:t>
      </w:r>
      <w:r>
        <w:rPr>
          <w:rFonts w:ascii="Arial" w:cs="Arial" w:eastAsia="Arial" w:hAnsi="Arial"/>
          <w:sz w:val="19"/>
          <w:szCs w:val="19"/>
          <w:b w:val="1"/>
          <w:bCs w:val="1"/>
          <w:color w:val="auto"/>
        </w:rPr>
        <w:t xml:space="preserve"> </w:t>
      </w:r>
      <w:r>
        <w:rPr>
          <w:rFonts w:ascii="Arial" w:cs="Arial" w:eastAsia="Arial" w:hAnsi="Arial"/>
          <w:sz w:val="19"/>
          <w:szCs w:val="19"/>
          <w:color w:val="auto"/>
        </w:rPr>
        <w:t>contemplated defense, prosecution, or investigation of any claims or demands by or against third parties, or other matters arising from events, acts, or failures to act that occurred during the period of Executive’s employment by the Company. Such cooperation includes, without limitation, making himself available to the Company upon reasonable notice, without subpoena, to provide complete, truthful and accurate information in witness interviews, depositions, and trial testimony. The Company will reimburse Executive for reasonable out-of-pocket expenses Executive incurs in connection with any such cooperation (excluding foregone wages, salary, or other compensation) but including reasonable attorneys’ fees at a rate mutually agreed upon by the parties commensurate with commercially reasonable attorney rates in the Columbus, Ohio area, and will make reasonable efforts to accommodate Executive’s scheduling needs and for more than de minimis service, Executive and the Company will agree on a mutually agreeable per diem rate. In addition, in the event Executive is receiving Separation Benefits, for twelve (12) months after the Separation Date, Executive agrees to reasonably cooperate with the Company in all matters relating to the transition of Executive’s work and responsibilities on behalf of the Company, including, but not limited to, any present, prior or subsequent relationships and the orderly transfer of any such work and institutional knowledge to such other persons as may be designated by the Company. Such transition assistance described in the previous sentence shall not be subject to additional compensation, and the Company will make reasonable efforts to accommodate Executive’s scheduling needs. Further, in accordance with Executive’s February 24, 2021, Proprietary Information and Inventions Agreement, Executive agrees to assist the Company, or its designee, to secure the Company’s rights in Inventions (as defined therein), and to provide assistance in connection with maintaining, protecting and enforcing the Company’s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95" w:right="339" w:bottom="1440" w:gutter="0" w:footer="0" w:header="0"/>
        </w:sectPr>
      </w:pPr>
    </w:p>
    <w:bookmarkStart w:id="191" w:name="page192"/>
    <w:bookmarkEnd w:id="191"/>
    <w:p>
      <w:pPr>
        <w:jc w:val="both"/>
        <w:ind w:firstLine="656"/>
        <w:spacing w:after="0" w:line="220" w:lineRule="auto"/>
        <w:tabs>
          <w:tab w:leader="none" w:pos="1296"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Review Period;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will have a period of seven (7) days to review this Transition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consider whether to sign it (the “</w:t>
      </w:r>
      <w:r>
        <w:rPr>
          <w:rFonts w:ascii="Arial" w:cs="Arial" w:eastAsia="Arial" w:hAnsi="Arial"/>
          <w:sz w:val="22"/>
          <w:szCs w:val="22"/>
          <w:b w:val="1"/>
          <w:bCs w:val="1"/>
          <w:color w:val="auto"/>
        </w:rPr>
        <w:t>Review Period</w:t>
      </w:r>
      <w:r>
        <w:rPr>
          <w:rFonts w:ascii="Arial" w:cs="Arial" w:eastAsia="Arial" w:hAnsi="Arial"/>
          <w:sz w:val="22"/>
          <w:szCs w:val="22"/>
          <w:color w:val="auto"/>
        </w:rPr>
        <w:t>”). However, Executive may sign this Transition Agreement prior to the expiration of the Review Period if Executive wishes to do so. This Transition Agreement will not become effective until it is signed by both parties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Consultation with an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advises Executive to consult with an attorney of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choice prior to signing this Transition Agreement. This Transition Agreement constitutes a binding legal instrument affecting significant rights. Executive understands and agrees that Executive has the right and has been given the opportunity to review this Transition Agreement and, specifically, the Release set forth in Paragraph 5 above, with an attorney of Executive’s choice should Executive so desire. Executive also understands and agrees that absent his acceptance of the terms of this Transition Agreement, the Company is under no obligation to offer Executive the consideration described in Paragraphs 2 and 3, and that Executive is under no obligation to consent to the Release in Paragraph 5.</w:t>
      </w:r>
    </w:p>
    <w:p>
      <w:pPr>
        <w:spacing w:after="0" w:line="174" w:lineRule="exact"/>
        <w:rPr>
          <w:rFonts w:ascii="Arial" w:cs="Arial" w:eastAsia="Arial" w:hAnsi="Arial"/>
          <w:sz w:val="19"/>
          <w:szCs w:val="19"/>
          <w:b w:val="1"/>
          <w:bCs w:val="1"/>
          <w:color w:val="auto"/>
        </w:rPr>
      </w:pPr>
    </w:p>
    <w:p>
      <w:pPr>
        <w:jc w:val="both"/>
        <w:ind w:firstLine="656"/>
        <w:spacing w:after="0" w:line="225" w:lineRule="auto"/>
        <w:tabs>
          <w:tab w:leader="none" w:pos="1296"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Choice of law; Jurisdiction</w:t>
      </w:r>
      <w:r>
        <w:rPr>
          <w:rFonts w:ascii="Arial" w:cs="Arial" w:eastAsia="Arial" w:hAnsi="Arial"/>
          <w:sz w:val="22"/>
          <w:szCs w:val="22"/>
          <w:color w:val="auto"/>
        </w:rPr>
        <w:t>. This Agreement shall be construed in accordance with the laws of Ohio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regard to conflicts of law principles. Each party hereto submits to the exclusive jurisdiction of the state and federal courts located in Ohio for any action or proceeding to enforce this Agreement.</w:t>
      </w:r>
    </w:p>
    <w:p>
      <w:pPr>
        <w:spacing w:after="0" w:line="179" w:lineRule="exact"/>
        <w:rPr>
          <w:rFonts w:ascii="Arial" w:cs="Arial" w:eastAsia="Arial" w:hAnsi="Arial"/>
          <w:sz w:val="22"/>
          <w:szCs w:val="22"/>
          <w:b w:val="1"/>
          <w:bCs w:val="1"/>
          <w:color w:val="auto"/>
        </w:rPr>
      </w:pPr>
    </w:p>
    <w:p>
      <w:pPr>
        <w:jc w:val="both"/>
        <w:ind w:firstLine="656"/>
        <w:spacing w:after="0" w:line="244" w:lineRule="auto"/>
        <w:tabs>
          <w:tab w:leader="none" w:pos="129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Continuing Obligations; Modification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and conditions described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Transition Agreement set forth the entire agreement and understanding and replaces, and supersedes, any previous oral or written understandings between Executive and the Company on each the subjects addressed in this Transition Agreement; provided however, that Executive’s obligations under Executive’s February 24, 2021 Proprietary Information and Inventions Agreement (“</w:t>
      </w:r>
      <w:r>
        <w:rPr>
          <w:rFonts w:ascii="Arial" w:cs="Arial" w:eastAsia="Arial" w:hAnsi="Arial"/>
          <w:sz w:val="19"/>
          <w:szCs w:val="19"/>
          <w:b w:val="1"/>
          <w:bCs w:val="1"/>
          <w:color w:val="auto"/>
        </w:rPr>
        <w:t>Continuing Obligations</w:t>
      </w:r>
      <w:r>
        <w:rPr>
          <w:rFonts w:ascii="Arial" w:cs="Arial" w:eastAsia="Arial" w:hAnsi="Arial"/>
          <w:sz w:val="19"/>
          <w:szCs w:val="19"/>
          <w:color w:val="auto"/>
        </w:rPr>
        <w:t>”), continue in full force and effect according to their terms and survive the separation of Executive’s employment from the Company. This Transition Agreement may only be modified by written agreement signed by both Executive and an authorized representative of the Company. No waiver by either of the parties of any breach by the other party hereto of any condition or provision of this Transition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75" w:lineRule="exact"/>
        <w:rPr>
          <w:rFonts w:ascii="Arial" w:cs="Arial" w:eastAsia="Arial" w:hAnsi="Arial"/>
          <w:sz w:val="19"/>
          <w:szCs w:val="19"/>
          <w:b w:val="1"/>
          <w:bCs w:val="1"/>
          <w:color w:val="auto"/>
        </w:rPr>
      </w:pPr>
    </w:p>
    <w:p>
      <w:pPr>
        <w:jc w:val="both"/>
        <w:ind w:firstLine="656"/>
        <w:spacing w:after="0" w:line="259" w:lineRule="auto"/>
        <w:tabs>
          <w:tab w:leader="none" w:pos="129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Transition Agreement may be executed in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original, and that all counterparts so executed shall constitute one Agreement binding on both Executive and the Company, notwithstanding that Executive and the Company are not signatory to the same counterpart. This Transition Agreement may be executed either by original, facsimile, or electronic copy, each of which will be equally binding.</w:t>
      </w:r>
    </w:p>
    <w:p>
      <w:pPr>
        <w:spacing w:after="0" w:line="163" w:lineRule="exact"/>
        <w:rPr>
          <w:rFonts w:ascii="Arial" w:cs="Arial" w:eastAsia="Arial" w:hAnsi="Arial"/>
          <w:sz w:val="19"/>
          <w:szCs w:val="19"/>
          <w:b w:val="1"/>
          <w:bCs w:val="1"/>
          <w:color w:val="auto"/>
        </w:rPr>
      </w:pPr>
    </w:p>
    <w:p>
      <w:pPr>
        <w:jc w:val="both"/>
        <w:ind w:firstLine="656"/>
        <w:spacing w:after="0" w:line="222" w:lineRule="auto"/>
        <w:tabs>
          <w:tab w:leader="none" w:pos="1296"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Voluntary and Knowing Execution of this Transition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acknowledges and agrees that</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executed this Transition Agreement voluntarily, without any duress or undue influence on the part or behalf of the Company or any third party, with the full intent of releasing all of Executive’s claims that Executive may lawfully waive against the Company and any of the other Releasees. Executive further acknowledges that Executive: (a) has have read this Transition Agreement; (b) has been represented in the negotiation and execution of this Transition Agreement by legal counsel of Executive’s own choice or have elected not to retain legal counsel; (c) understands the terms and conditions of this Transition Agreement, including any rights or claims Executive is surrendering or releasing through this Transition Agreement; and (d) is fully aware of the legal and binding effect of this Transition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95" w:right="339" w:bottom="1440" w:gutter="0" w:footer="0" w:header="0"/>
        </w:sectPr>
      </w:pPr>
    </w:p>
    <w:bookmarkStart w:id="192" w:name="page193"/>
    <w:bookmarkEnd w:id="192"/>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By their signatures, the Company and Executive agree to be bound by the foregoing terms of this Transition Agreement.</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 Daniel Rosenthal</w:t>
            </w:r>
          </w:p>
        </w:tc>
        <w:tc>
          <w:tcPr>
            <w:tcW w:w="220" w:type="dxa"/>
            <w:vAlign w:val="bottom"/>
          </w:tcPr>
          <w:p>
            <w:pPr>
              <w:spacing w:after="0"/>
              <w:rPr>
                <w:sz w:val="21"/>
                <w:szCs w:val="21"/>
                <w:color w:val="auto"/>
              </w:rPr>
            </w:pPr>
          </w:p>
        </w:tc>
        <w:tc>
          <w:tcPr>
            <w:tcW w:w="238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rPr>
              <w:t>/s/ Alexander Timm</w:t>
            </w:r>
          </w:p>
        </w:tc>
        <w:tc>
          <w:tcPr>
            <w:tcW w:w="740" w:type="dxa"/>
            <w:vAlign w:val="bottom"/>
          </w:tcPr>
          <w:p>
            <w:pPr>
              <w:spacing w:after="0"/>
              <w:rPr>
                <w:sz w:val="21"/>
                <w:szCs w:val="21"/>
                <w:color w:val="auto"/>
              </w:rPr>
            </w:pPr>
          </w:p>
        </w:tc>
      </w:tr>
      <w:tr>
        <w:trPr>
          <w:trHeight w:val="268"/>
        </w:trPr>
        <w:tc>
          <w:tcPr>
            <w:tcW w:w="2400" w:type="dxa"/>
            <w:vAlign w:val="bottom"/>
            <w:gridSpan w:val="4"/>
          </w:tcPr>
          <w:p>
            <w:pPr>
              <w:spacing w:after="0"/>
              <w:rPr>
                <w:sz w:val="20"/>
                <w:szCs w:val="20"/>
                <w:color w:val="auto"/>
              </w:rPr>
            </w:pPr>
            <w:r>
              <w:rPr>
                <w:rFonts w:ascii="Arial" w:cs="Arial" w:eastAsia="Arial" w:hAnsi="Arial"/>
                <w:sz w:val="22"/>
                <w:szCs w:val="22"/>
                <w:color w:val="auto"/>
              </w:rPr>
              <w:t>Daniel Rosenthal</w:t>
            </w:r>
          </w:p>
        </w:tc>
        <w:tc>
          <w:tcPr>
            <w:tcW w:w="2600" w:type="dxa"/>
            <w:vAlign w:val="bottom"/>
            <w:gridSpan w:val="6"/>
          </w:tcPr>
          <w:p>
            <w:pPr>
              <w:spacing w:after="0"/>
              <w:rPr>
                <w:sz w:val="20"/>
                <w:szCs w:val="20"/>
                <w:color w:val="auto"/>
              </w:rPr>
            </w:pPr>
            <w:r>
              <w:rPr>
                <w:rFonts w:ascii="Arial" w:cs="Arial" w:eastAsia="Arial" w:hAnsi="Arial"/>
                <w:sz w:val="22"/>
                <w:szCs w:val="22"/>
                <w:color w:val="auto"/>
              </w:rPr>
              <w:t>Root, Inc.</w:t>
            </w:r>
          </w:p>
        </w:tc>
        <w:tc>
          <w:tcPr>
            <w:tcW w:w="740" w:type="dxa"/>
            <w:vAlign w:val="bottom"/>
          </w:tcPr>
          <w:p>
            <w:pPr>
              <w:spacing w:after="0"/>
              <w:rPr>
                <w:sz w:val="23"/>
                <w:szCs w:val="23"/>
                <w:color w:val="auto"/>
              </w:rPr>
            </w:pPr>
          </w:p>
        </w:tc>
      </w:tr>
      <w:tr>
        <w:trPr>
          <w:trHeight w:val="360"/>
        </w:trPr>
        <w:tc>
          <w:tcPr>
            <w:tcW w:w="520" w:type="dxa"/>
            <w:vAlign w:val="bottom"/>
          </w:tcPr>
          <w:p>
            <w:pPr>
              <w:spacing w:after="0"/>
              <w:rPr>
                <w:sz w:val="24"/>
                <w:szCs w:val="24"/>
                <w:color w:val="auto"/>
              </w:rPr>
            </w:pPr>
          </w:p>
        </w:tc>
        <w:tc>
          <w:tcPr>
            <w:tcW w:w="5220" w:type="dxa"/>
            <w:vAlign w:val="bottom"/>
            <w:gridSpan w:val="10"/>
          </w:tcPr>
          <w:p>
            <w:pPr>
              <w:ind w:left="780"/>
              <w:spacing w:after="0"/>
              <w:rPr>
                <w:sz w:val="20"/>
                <w:szCs w:val="20"/>
                <w:color w:val="auto"/>
              </w:rPr>
            </w:pPr>
            <w:r>
              <w:rPr>
                <w:rFonts w:ascii="Arial" w:cs="Arial" w:eastAsia="Arial" w:hAnsi="Arial"/>
                <w:sz w:val="22"/>
                <w:szCs w:val="22"/>
                <w:color w:val="auto"/>
              </w:rPr>
              <w:t>By: Alexander Timm</w:t>
            </w: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5220" w:type="dxa"/>
            <w:vAlign w:val="bottom"/>
            <w:gridSpan w:val="10"/>
          </w:tcPr>
          <w:p>
            <w:pPr>
              <w:ind w:left="780"/>
              <w:spacing w:after="0"/>
              <w:rPr>
                <w:sz w:val="20"/>
                <w:szCs w:val="20"/>
                <w:color w:val="auto"/>
              </w:rPr>
            </w:pPr>
            <w:r>
              <w:rPr>
                <w:rFonts w:ascii="Arial" w:cs="Arial" w:eastAsia="Arial" w:hAnsi="Arial"/>
                <w:sz w:val="22"/>
                <w:szCs w:val="22"/>
                <w:color w:val="auto"/>
              </w:rPr>
              <w:t>Title: Chief Executive Officer</w:t>
            </w:r>
          </w:p>
        </w:tc>
      </w:tr>
      <w:tr>
        <w:trPr>
          <w:trHeight w:val="20"/>
        </w:trPr>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439"/>
        </w:trPr>
        <w:tc>
          <w:tcPr>
            <w:tcW w:w="2400" w:type="dxa"/>
            <w:vAlign w:val="bottom"/>
            <w:gridSpan w:val="4"/>
          </w:tcPr>
          <w:p>
            <w:pPr>
              <w:spacing w:after="0"/>
              <w:rPr>
                <w:sz w:val="20"/>
                <w:szCs w:val="20"/>
                <w:color w:val="auto"/>
              </w:rPr>
            </w:pPr>
            <w:r>
              <w:rPr>
                <w:rFonts w:ascii="Arial" w:cs="Arial" w:eastAsia="Arial" w:hAnsi="Arial"/>
                <w:sz w:val="22"/>
                <w:szCs w:val="22"/>
                <w:color w:val="auto"/>
                <w:w w:val="94"/>
              </w:rPr>
              <w:t>Date:   February 20, 2023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tcPr>
          <w:p>
            <w:pPr>
              <w:ind w:left="220"/>
              <w:spacing w:after="0"/>
              <w:rPr>
                <w:sz w:val="20"/>
                <w:szCs w:val="20"/>
                <w:color w:val="auto"/>
              </w:rPr>
            </w:pPr>
            <w:r>
              <w:rPr>
                <w:rFonts w:ascii="Arial" w:cs="Arial" w:eastAsia="Arial" w:hAnsi="Arial"/>
                <w:sz w:val="22"/>
                <w:szCs w:val="22"/>
                <w:color w:val="auto"/>
              </w:rPr>
              <w:t>Date:   February 21, 2023</w:t>
            </w:r>
          </w:p>
        </w:tc>
      </w:tr>
      <w:tr>
        <w:trPr>
          <w:trHeight w:val="20"/>
        </w:trPr>
        <w:tc>
          <w:tcPr>
            <w:tcW w:w="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400"/>
          </w:cols>
          <w:pgMar w:left="320" w:top="1440" w:right="117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RELEASE OF CLAIMS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For and in consideration of certain Separation Benefits provided to Executive under the Separation and Transition Agreement between Executive and Root, Inc. (the “</w:t>
      </w:r>
      <w:r>
        <w:rPr>
          <w:rFonts w:ascii="Arial" w:cs="Arial" w:eastAsia="Arial" w:hAnsi="Arial"/>
          <w:sz w:val="19"/>
          <w:szCs w:val="19"/>
          <w:b w:val="1"/>
          <w:bCs w:val="1"/>
          <w:color w:val="auto"/>
        </w:rPr>
        <w:t>Company</w:t>
      </w:r>
      <w:r>
        <w:rPr>
          <w:rFonts w:ascii="Arial" w:cs="Arial" w:eastAsia="Arial" w:hAnsi="Arial"/>
          <w:sz w:val="19"/>
          <w:szCs w:val="19"/>
          <w:color w:val="auto"/>
        </w:rPr>
        <w:t>”), dated as of February 20, 2023 (the “</w:t>
      </w:r>
      <w:r>
        <w:rPr>
          <w:rFonts w:ascii="Arial" w:cs="Arial" w:eastAsia="Arial" w:hAnsi="Arial"/>
          <w:sz w:val="19"/>
          <w:szCs w:val="19"/>
          <w:b w:val="1"/>
          <w:bCs w:val="1"/>
          <w:color w:val="auto"/>
        </w:rPr>
        <w:t>Transition Agreement</w:t>
      </w:r>
      <w:r>
        <w:rPr>
          <w:rFonts w:ascii="Arial" w:cs="Arial" w:eastAsia="Arial" w:hAnsi="Arial"/>
          <w:sz w:val="19"/>
          <w:szCs w:val="19"/>
          <w:color w:val="auto"/>
        </w:rPr>
        <w:t>”), which are conditioned on my signing this Supplemental Release and Waiver of Claims (this “</w:t>
      </w:r>
      <w:r>
        <w:rPr>
          <w:rFonts w:ascii="Arial" w:cs="Arial" w:eastAsia="Arial" w:hAnsi="Arial"/>
          <w:sz w:val="19"/>
          <w:szCs w:val="19"/>
          <w:b w:val="1"/>
          <w:bCs w:val="1"/>
          <w:color w:val="auto"/>
        </w:rPr>
        <w:t>Supplemental Release</w:t>
      </w:r>
      <w:r>
        <w:rPr>
          <w:rFonts w:ascii="Arial" w:cs="Arial" w:eastAsia="Arial" w:hAnsi="Arial"/>
          <w:sz w:val="19"/>
          <w:szCs w:val="19"/>
          <w:color w:val="auto"/>
        </w:rPr>
        <w:t>”) and on Executive’s compliance with the Continuing Obligations (as defined in the Paragraph 17 of the Transition Agreement), and to which Executive is not otherwise entitled, and other good and valuable consideration, the receipt and sufficiency of which Executive hereby acknowledges, on his own behalf and that of his heirs, executors, administrators, beneficiaries, personal representatives and assigns, Executive agrees that this Supplemental Release shall be in complete and final settlement of any and all causes of action, rights and claims, whether known or unknown, accrued or unaccrued, contingent or otherwise, that Executive has had in the past, now has, or might now have, in any way related to, connected with or arising out of Executive’s employment, its termination, or his other associations with the Company or any of its Affiliates (as defined in the Transition Agreement), or pursuant to Title VII of the Civil Rights Act, the Americans with Disabilities Act, the Age Discrimination in Employment Act, as amended by the Older Workers Benefit Protection Act, the Employee Retirement Income Security Act, the fair employment practices laws and statutes of the state or states in which Executive has provided services to the Company or any of its Affiliates (each as amended from time to time), and/or any other federal, state or local law, regulation or other requirement (collectively, the “</w:t>
      </w:r>
      <w:r>
        <w:rPr>
          <w:rFonts w:ascii="Arial" w:cs="Arial" w:eastAsia="Arial" w:hAnsi="Arial"/>
          <w:sz w:val="19"/>
          <w:szCs w:val="19"/>
          <w:b w:val="1"/>
          <w:bCs w:val="1"/>
          <w:color w:val="auto"/>
        </w:rPr>
        <w:t>Claims</w:t>
      </w:r>
      <w:r>
        <w:rPr>
          <w:rFonts w:ascii="Arial" w:cs="Arial" w:eastAsia="Arial" w:hAnsi="Arial"/>
          <w:sz w:val="19"/>
          <w:szCs w:val="19"/>
          <w:color w:val="auto"/>
        </w:rPr>
        <w:t>”), and Executive hereby releases and forever discharges the Company, its Affiliates and all of their respective past, present and future directors, shareholders, officers, members, managers, general and limited partners, employees, employee benefit plans, administrators, trustees, representatives, predecessors, successors and assigns, and all others connected with any of them, both individually and in their official capacities (collectively, the “</w:t>
      </w:r>
      <w:r>
        <w:rPr>
          <w:rFonts w:ascii="Arial" w:cs="Arial" w:eastAsia="Arial" w:hAnsi="Arial"/>
          <w:sz w:val="19"/>
          <w:szCs w:val="19"/>
          <w:b w:val="1"/>
          <w:bCs w:val="1"/>
          <w:color w:val="auto"/>
        </w:rPr>
        <w:t>Company Releasees</w:t>
      </w:r>
      <w:r>
        <w:rPr>
          <w:rFonts w:ascii="Arial" w:cs="Arial" w:eastAsia="Arial" w:hAnsi="Arial"/>
          <w:sz w:val="19"/>
          <w:szCs w:val="19"/>
          <w:color w:val="auto"/>
        </w:rPr>
        <w:t>”), from, and Executive hereby waives, any and all such Claims.</w:t>
      </w:r>
    </w:p>
    <w:p>
      <w:pPr>
        <w:spacing w:after="0" w:line="200" w:lineRule="exact"/>
        <w:rPr>
          <w:sz w:val="20"/>
          <w:szCs w:val="20"/>
          <w:color w:val="auto"/>
        </w:rPr>
      </w:pPr>
    </w:p>
    <w:p>
      <w:pPr>
        <w:spacing w:after="0" w:line="21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Executive understands that nothing contained in this Release of Claims shall be construed to prohibit Executive from filing a charge with or participating in any investigation or proceeding conducted by the federal Department of Labor or Equal Employment Opportunity Commission or a comparable state or local agency, provided, however, that Executive hereby agrees to waive his right to recover monetary damages or other individual relief in any such charge, investigation or proceeding or any related complaint or lawsuit filed by Executive or by anyone else on Executive’s behalf. Executive further understands that nothing contained herein limits, restricts or in any other way affects Executive’s communications with any governmental agency or entity, or communicating with any official or staff person of a governmental agency or entity, concerning matters relevant to such governmental agency or entity.</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In consideration of Executive’s obligations set forth in this Supplemental Release of Claims, the Company, its officers and directors, and each of their successors and assigns (collectively, the “</w:t>
      </w:r>
      <w:r>
        <w:rPr>
          <w:rFonts w:ascii="Arial" w:cs="Arial" w:eastAsia="Arial" w:hAnsi="Arial"/>
          <w:sz w:val="19"/>
          <w:szCs w:val="19"/>
          <w:b w:val="1"/>
          <w:bCs w:val="1"/>
          <w:color w:val="auto"/>
        </w:rPr>
        <w:t>Company Releasors</w:t>
      </w:r>
      <w:r>
        <w:rPr>
          <w:rFonts w:ascii="Arial" w:cs="Arial" w:eastAsia="Arial" w:hAnsi="Arial"/>
          <w:sz w:val="19"/>
          <w:szCs w:val="19"/>
          <w:color w:val="auto"/>
        </w:rPr>
        <w:t>”) voluntarily, knowingly and willingly release and forever discharge Executive, his successors and assigns from any and all rights, claims, causes of actions, charges, demands and liabilities, known or unknown, which the Company Releasors had, now have, or hereafter can, shall or may have arising from the beginning of time to the time the Company signs this Supplemental Release of Claims.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Executive represents and warrants that, in accordance with Paragraph 11 of the Transition Agreement, Executive has returned to the Company any and all documents and other property of the Company and its Affiliates that Executive had in his possession, custody or control on the date Executive’s employment with the Company terminated and that Executive has retained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194" w:name="page195"/>
    <w:bookmarkEnd w:id="194"/>
    <w:p>
      <w:pPr>
        <w:jc w:val="both"/>
        <w:spacing w:after="0" w:line="232" w:lineRule="auto"/>
        <w:rPr>
          <w:sz w:val="20"/>
          <w:szCs w:val="20"/>
          <w:color w:val="auto"/>
        </w:rPr>
      </w:pPr>
      <w:r>
        <w:rPr>
          <w:rFonts w:ascii="Arial" w:cs="Arial" w:eastAsia="Arial" w:hAnsi="Arial"/>
          <w:sz w:val="22"/>
          <w:szCs w:val="22"/>
          <w:color w:val="auto"/>
        </w:rPr>
        <w:t>such property. Without limiting the foregoing, Executive also represents and warrants that Executive has retained no copy of any such requested documents, materials or information.</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Executive acknowledges that this Supplemental Release creates legally binding obligations, and that the Company has advised Executive to consult an attorney before signing it. Executive further acknowledges that Executive may not sign this Supplemental Release prior to the Separation Date (as such term is defined in the Transition Agreement). In signing this Supplemental Release, Executive gives the Company assurance that Executive has signed it voluntarily and with a full understanding of its terms; that Executive has had sufficient opportunity of not less than twenty-one (21) days before signing this Supplemental Release to consider its terms and to consult with an attorney, if Executive wished to do so, or to consult with any person to whom reference is made in Paragraph 15 of the Transition Agreement; and that Executive has not relied on any promises or representations, express or implied, that are not set forth expressly in this Supplemental Release. Executive understands that Executive will have seven (7) days after signing this Supplemental Release to revoke Executive’s signature, and that, if Executive intends to revoke his signature, Executive must do so in writing addressed and delivered via email to Alex Timm at [redacted] prior to the end of the seven (7) day revocation period. Executive understands that this Supplemental Release will become effective upon the eighth (8th) day following the date that Executive signs it, provided that Executive does not revoke his acceptance in accordance with the immediately preceding sentence (Effective Date of the Supplemental Release).</w:t>
      </w:r>
    </w:p>
    <w:p>
      <w:pPr>
        <w:spacing w:after="0" w:line="18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This Supplemental Release constitutes the entire agreement between Executive and the Company and supersedes all prior and contemporaneous communications, agreements and understandings, whether written or oral, with respect to Executive’s employment, its termination and all related matters, excluding only the Transition Agreement and the Continuing Obligations, which shall remain in full force and effect in accordance with their terms. This Supplemental Release may not be modified or amended, and no breach shall be deemed to be waived, unless agreed to in writing by me and an expressly authorized representative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By their signatures, the Company and Executive agree to be bound by the foregoing terms of this Supplemental Release.</w:t>
      </w:r>
    </w:p>
    <w:p>
      <w:pPr>
        <w:spacing w:after="0" w:line="200" w:lineRule="exact"/>
        <w:rPr>
          <w:sz w:val="20"/>
          <w:szCs w:val="20"/>
          <w:color w:val="auto"/>
        </w:rPr>
      </w:pPr>
    </w:p>
    <w:p>
      <w:pPr>
        <w:spacing w:after="0" w:line="257" w:lineRule="exact"/>
        <w:rPr>
          <w:sz w:val="20"/>
          <w:szCs w:val="20"/>
          <w:color w:val="auto"/>
        </w:rPr>
      </w:pPr>
    </w:p>
    <w:p>
      <w:pPr>
        <w:spacing w:after="0"/>
        <w:tabs>
          <w:tab w:leader="none" w:pos="2340" w:val="left"/>
        </w:tabs>
        <w:rPr>
          <w:sz w:val="20"/>
          <w:szCs w:val="20"/>
          <w:color w:val="auto"/>
        </w:rPr>
      </w:pPr>
      <w:r>
        <w:rPr>
          <w:rFonts w:ascii="Arial" w:cs="Arial" w:eastAsia="Arial" w:hAnsi="Arial"/>
          <w:sz w:val="22"/>
          <w:szCs w:val="22"/>
          <w:color w:val="auto"/>
        </w:rPr>
        <w:t>Daniel Rosenthal</w:t>
      </w:r>
      <w:r>
        <w:rPr>
          <w:sz w:val="20"/>
          <w:szCs w:val="20"/>
          <w:color w:val="auto"/>
        </w:rPr>
        <w:tab/>
      </w:r>
      <w:r>
        <w:rPr>
          <w:rFonts w:ascii="Arial" w:cs="Arial" w:eastAsia="Arial" w:hAnsi="Arial"/>
          <w:sz w:val="19"/>
          <w:szCs w:val="19"/>
          <w:color w:val="auto"/>
        </w:rPr>
        <w:t>Root,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08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-5715</wp:posOffset>
            </wp:positionV>
            <wp:extent cx="6858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tabs>
          <w:tab w:leader="none" w:pos="18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-29210</wp:posOffset>
            </wp:positionV>
            <wp:extent cx="18402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1840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95" w:name="page196"/>
    <w:bookmarkEnd w:id="195"/>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We consent to the incorporation by reference in Registration Statements No. 333-249777, No. 333-256076 and No. 333-264267 on Form S-8 of our reports dated February 22, 2023, relating to the financial statements of Root, Inc. and the effectiveness of Root Inc.’s internal control over financial reporting (which expressed an adverse opinion on the Company's internal control over financial reporting because of a material weakness), appearing in this Annual Report on Form 10-K for the year ended 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Columbus, Ohio</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2023</w:t>
      </w:r>
    </w:p>
    <w:p>
      <w:pPr>
        <w:sectPr>
          <w:pgSz w:w="11900" w:h="16838" w:orient="portrait"/>
          <w:cols w:equalWidth="0" w:num="1">
            <w:col w:w="11240"/>
          </w:cols>
          <w:pgMar w:left="320" w:top="1440"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Alexander Timm, certify that:</w:t>
      </w:r>
    </w:p>
    <w:p>
      <w:pPr>
        <w:spacing w:after="0" w:line="27" w:lineRule="exact"/>
        <w:rPr>
          <w:sz w:val="20"/>
          <w:szCs w:val="20"/>
          <w:color w:val="auto"/>
        </w:rPr>
      </w:pPr>
    </w:p>
    <w:p>
      <w:pPr>
        <w:ind w:left="360" w:hanging="334"/>
        <w:spacing w:after="0"/>
        <w:tabs>
          <w:tab w:leader="none" w:pos="360" w:val="left"/>
        </w:tabs>
        <w:numPr>
          <w:ilvl w:val="0"/>
          <w:numId w:val="87"/>
        </w:numPr>
        <w:rPr>
          <w:rFonts w:ascii="Arial" w:cs="Arial" w:eastAsia="Arial" w:hAnsi="Arial"/>
          <w:sz w:val="22"/>
          <w:szCs w:val="22"/>
          <w:color w:val="auto"/>
        </w:rPr>
      </w:pPr>
      <w:r>
        <w:rPr>
          <w:rFonts w:ascii="Arial" w:cs="Arial" w:eastAsia="Arial" w:hAnsi="Arial"/>
          <w:sz w:val="18"/>
          <w:szCs w:val="18"/>
          <w:color w:val="auto"/>
        </w:rPr>
        <w:t>I have reviewed this Annual Report on Form 10-K of Root, Inc.;</w:t>
      </w:r>
    </w:p>
    <w:p>
      <w:pPr>
        <w:spacing w:after="0" w:line="67" w:lineRule="exact"/>
        <w:rPr>
          <w:sz w:val="20"/>
          <w:szCs w:val="20"/>
          <w:color w:val="auto"/>
        </w:rPr>
      </w:pPr>
    </w:p>
    <w:p>
      <w:pPr>
        <w:jc w:val="both"/>
        <w:ind w:left="360" w:right="20" w:hanging="334"/>
        <w:spacing w:after="0" w:line="256" w:lineRule="auto"/>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sz w:val="20"/>
          <w:szCs w:val="20"/>
          <w:color w:val="auto"/>
        </w:rPr>
      </w:pPr>
    </w:p>
    <w:p>
      <w:pPr>
        <w:ind w:left="360" w:right="20" w:hanging="334"/>
        <w:spacing w:after="0" w:line="273" w:lineRule="auto"/>
        <w:tabs>
          <w:tab w:leader="none" w:pos="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sz w:val="20"/>
          <w:szCs w:val="20"/>
          <w:color w:val="auto"/>
        </w:rPr>
      </w:pPr>
    </w:p>
    <w:p>
      <w:pPr>
        <w:jc w:val="both"/>
        <w:ind w:left="360" w:right="20" w:hanging="334"/>
        <w:spacing w:after="0" w:line="256" w:lineRule="auto"/>
        <w:tabs>
          <w:tab w:leader="none" w:pos="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740" w:right="20" w:hanging="390"/>
        <w:spacing w:after="0" w:line="290" w:lineRule="auto"/>
        <w:tabs>
          <w:tab w:leader="none" w:pos="7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40" w:right="20" w:hanging="390"/>
        <w:spacing w:after="0" w:line="256" w:lineRule="auto"/>
        <w:tabs>
          <w:tab w:leader="none" w:pos="7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sz w:val="20"/>
          <w:szCs w:val="20"/>
          <w:color w:val="auto"/>
        </w:rPr>
      </w:pPr>
    </w:p>
    <w:p>
      <w:pPr>
        <w:ind w:left="360" w:right="20" w:hanging="334"/>
        <w:spacing w:after="0" w:line="290" w:lineRule="auto"/>
        <w:tabs>
          <w:tab w:leader="none" w:pos="3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40" w:right="20" w:hanging="390"/>
        <w:spacing w:after="0" w:line="273" w:lineRule="auto"/>
        <w:tabs>
          <w:tab w:leader="none" w:pos="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740" w:right="20" w:hanging="390"/>
        <w:spacing w:after="0" w:line="277" w:lineRule="auto"/>
        <w:tabs>
          <w:tab w:leader="none" w:pos="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6"/>
          <w:szCs w:val="16"/>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23495</wp:posOffset>
            </wp:positionV>
            <wp:extent cx="27171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Robert Bateman, certify that:</w:t>
      </w:r>
    </w:p>
    <w:p>
      <w:pPr>
        <w:spacing w:after="0" w:line="117" w:lineRule="exact"/>
        <w:rPr>
          <w:sz w:val="20"/>
          <w:szCs w:val="20"/>
          <w:color w:val="auto"/>
        </w:rPr>
      </w:pPr>
    </w:p>
    <w:p>
      <w:pPr>
        <w:ind w:left="360" w:hanging="334"/>
        <w:spacing w:after="0"/>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Root, Inc.;</w:t>
      </w:r>
    </w:p>
    <w:p>
      <w:pPr>
        <w:spacing w:after="0" w:line="50" w:lineRule="exact"/>
        <w:rPr>
          <w:sz w:val="20"/>
          <w:szCs w:val="20"/>
          <w:color w:val="auto"/>
        </w:rPr>
      </w:pPr>
    </w:p>
    <w:p>
      <w:pPr>
        <w:jc w:val="both"/>
        <w:ind w:left="360" w:right="20" w:hanging="334"/>
        <w:spacing w:after="0" w:line="256" w:lineRule="auto"/>
        <w:tabs>
          <w:tab w:leader="none" w:pos="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sz w:val="20"/>
          <w:szCs w:val="20"/>
          <w:color w:val="auto"/>
        </w:rPr>
      </w:pPr>
    </w:p>
    <w:p>
      <w:pPr>
        <w:ind w:left="360" w:right="20" w:hanging="334"/>
        <w:spacing w:after="0" w:line="261" w:lineRule="auto"/>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sz w:val="20"/>
          <w:szCs w:val="20"/>
          <w:color w:val="auto"/>
        </w:rPr>
      </w:pPr>
    </w:p>
    <w:p>
      <w:pPr>
        <w:jc w:val="both"/>
        <w:ind w:left="360" w:right="20" w:hanging="334"/>
        <w:spacing w:after="0" w:line="256" w:lineRule="auto"/>
        <w:tabs>
          <w:tab w:leader="none" w:pos="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8"/>
          <w:szCs w:val="18"/>
          <w:color w:val="auto"/>
        </w:rPr>
      </w:pPr>
    </w:p>
    <w:p>
      <w:pPr>
        <w:jc w:val="both"/>
        <w:ind w:left="740" w:right="20" w:hanging="390"/>
        <w:spacing w:after="0" w:line="256" w:lineRule="auto"/>
        <w:tabs>
          <w:tab w:leader="none" w:pos="7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Arial" w:cs="Arial" w:eastAsia="Arial" w:hAnsi="Arial"/>
          <w:sz w:val="18"/>
          <w:szCs w:val="18"/>
          <w:color w:val="auto"/>
        </w:rPr>
      </w:pPr>
    </w:p>
    <w:p>
      <w:pPr>
        <w:ind w:left="740" w:right="20" w:hanging="390"/>
        <w:spacing w:after="0" w:line="290" w:lineRule="auto"/>
        <w:tabs>
          <w:tab w:leader="none" w:pos="7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40" w:right="20" w:hanging="390"/>
        <w:spacing w:after="0" w:line="256" w:lineRule="auto"/>
        <w:tabs>
          <w:tab w:leader="none" w:pos="7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sz w:val="20"/>
          <w:szCs w:val="20"/>
          <w:color w:val="auto"/>
        </w:rPr>
      </w:pPr>
    </w:p>
    <w:p>
      <w:pPr>
        <w:ind w:left="360" w:right="20" w:hanging="334"/>
        <w:spacing w:after="0" w:line="290" w:lineRule="auto"/>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40" w:right="20" w:hanging="390"/>
        <w:spacing w:after="0" w:line="261" w:lineRule="auto"/>
        <w:tabs>
          <w:tab w:leader="none" w:pos="7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8"/>
          <w:szCs w:val="18"/>
          <w:color w:val="auto"/>
        </w:rPr>
      </w:pPr>
    </w:p>
    <w:p>
      <w:pPr>
        <w:ind w:left="740" w:right="20" w:hanging="390"/>
        <w:spacing w:after="0" w:line="261" w:lineRule="auto"/>
        <w:tabs>
          <w:tab w:leader="none" w:pos="7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20"/>
        <w:spacing w:after="0"/>
        <w:tabs>
          <w:tab w:leader="none" w:pos="722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6"/>
          <w:szCs w:val="16"/>
          <w:color w:val="auto"/>
        </w:rPr>
        <w:t>/s/ Robert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Bateman</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Alexander Timm, Chief Executive Officer of Root, Inc. (the “Company”), and Robert Bateman, Chief Financial Officer and Treasurer of the Company, each hereby certifies that, to the best of his knowledge:</w:t>
      </w:r>
    </w:p>
    <w:p>
      <w:pPr>
        <w:spacing w:after="0" w:line="144" w:lineRule="exact"/>
        <w:rPr>
          <w:sz w:val="20"/>
          <w:szCs w:val="20"/>
          <w:color w:val="auto"/>
        </w:rPr>
      </w:pPr>
    </w:p>
    <w:p>
      <w:pPr>
        <w:ind w:left="340" w:right="20" w:hanging="125"/>
        <w:spacing w:after="0" w:line="261" w:lineRule="auto"/>
        <w:rPr>
          <w:sz w:val="20"/>
          <w:szCs w:val="20"/>
          <w:color w:val="auto"/>
        </w:rPr>
      </w:pPr>
      <w:r>
        <w:rPr>
          <w:rFonts w:ascii="Arial" w:cs="Arial" w:eastAsia="Arial" w:hAnsi="Arial"/>
          <w:sz w:val="18"/>
          <w:szCs w:val="18"/>
          <w:color w:val="auto"/>
        </w:rPr>
        <w:t>1 The Company’s Annual Report on Form 10-K for the fiscal year ended December 31, 2022, to which this Certification is attached as Exhibit 32.1 (the “Annual Report”), fully complies with the requirements of Section 13(a) or Section 15(d) of the Exchange Act; and</w:t>
      </w:r>
    </w:p>
    <w:p>
      <w:pPr>
        <w:spacing w:after="0" w:line="22" w:lineRule="exact"/>
        <w:rPr>
          <w:sz w:val="20"/>
          <w:szCs w:val="20"/>
          <w:color w:val="auto"/>
        </w:rPr>
      </w:pPr>
    </w:p>
    <w:p>
      <w:pPr>
        <w:ind w:left="340" w:right="40" w:hanging="125"/>
        <w:spacing w:after="0" w:line="261" w:lineRule="auto"/>
        <w:rPr>
          <w:sz w:val="20"/>
          <w:szCs w:val="20"/>
          <w:color w:val="auto"/>
        </w:rPr>
      </w:pPr>
      <w:r>
        <w:rPr>
          <w:rFonts w:ascii="Arial" w:cs="Arial" w:eastAsia="Arial" w:hAnsi="Arial"/>
          <w:sz w:val="18"/>
          <w:szCs w:val="18"/>
          <w:color w:val="auto"/>
        </w:rPr>
        <w:t>2 The information contained in the Annual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22nd day of February,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Alexander Timm</w:t>
            </w:r>
          </w:p>
        </w:tc>
        <w:tc>
          <w:tcPr>
            <w:tcW w:w="3480" w:type="dxa"/>
            <w:vAlign w:val="bottom"/>
          </w:tcPr>
          <w:p>
            <w:pPr>
              <w:spacing w:after="0"/>
              <w:rPr>
                <w:sz w:val="20"/>
                <w:szCs w:val="20"/>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Bateman</w:t>
            </w: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Alexander Timm</w:t>
            </w:r>
          </w:p>
        </w:tc>
        <w:tc>
          <w:tcPr>
            <w:tcW w:w="3880" w:type="dxa"/>
            <w:vAlign w:val="bottom"/>
          </w:tcPr>
          <w:p>
            <w:pPr>
              <w:ind w:left="20"/>
              <w:spacing w:after="0"/>
              <w:rPr>
                <w:sz w:val="20"/>
                <w:szCs w:val="20"/>
                <w:color w:val="auto"/>
              </w:rPr>
            </w:pPr>
            <w:r>
              <w:rPr>
                <w:rFonts w:ascii="Arial" w:cs="Arial" w:eastAsia="Arial" w:hAnsi="Arial"/>
                <w:sz w:val="18"/>
                <w:szCs w:val="18"/>
                <w:color w:val="auto"/>
              </w:rPr>
              <w:t>Robert Bateman</w:t>
            </w:r>
          </w:p>
        </w:tc>
      </w:tr>
      <w:tr>
        <w:trPr>
          <w:trHeight w:val="25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388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3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Root,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lvl w:ilvl="1">
      <w:lvlJc w:val="left"/>
      <w:lvlText w:val="☒"/>
      <w:numFmt w:val="bullet"/>
      <w:start w:val="1"/>
    </w:lvl>
  </w:abstractNum>
  <w:abstractNum w:abstractNumId="1">
    <w:nsid w:val="684A481A"/>
    <w:multiLevelType w:val="hybridMultilevel"/>
    <w:lvl w:ilvl="0">
      <w:lvlJc w:val="left"/>
      <w:lvlText w:val="•"/>
      <w:numFmt w:val="bullet"/>
      <w:start w:val="1"/>
    </w:lvl>
    <w:lvl w:ilvl="1">
      <w:lvlJc w:val="left"/>
      <w:lvlText w:val="•"/>
      <w:numFmt w:val="bullet"/>
      <w:start w:val="1"/>
    </w:lvl>
  </w:abstractNum>
  <w:abstractNum w:abstractNumId="2">
    <w:nsid w:val="579478FE"/>
    <w:multiLevelType w:val="hybridMultilevel"/>
    <w:lvl w:ilvl="0">
      <w:lvlJc w:val="left"/>
      <w:lvlText w:val="•"/>
      <w:numFmt w:val="bullet"/>
      <w:start w:val="1"/>
    </w:lvl>
    <w:lvl w:ilvl="1">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lvl w:ilvl="1">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lowerLetter"/>
      <w:start w:val="2"/>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2"/>
    </w:lvl>
  </w:abstractNum>
  <w:abstractNum w:abstractNumId="31">
    <w:nsid w:val="310C50B3"/>
    <w:multiLevelType w:val="hybridMultilevel"/>
    <w:lvl w:ilvl="0">
      <w:lvlJc w:val="left"/>
      <w:lvlText w:val="%1."/>
      <w:numFmt w:val="decimal"/>
      <w:start w:val="3"/>
    </w:lvl>
  </w:abstractNum>
  <w:abstractNum w:abstractNumId="32">
    <w:nsid w:val="5FF87E05"/>
    <w:multiLevelType w:val="hybridMultilevel"/>
    <w:lvl w:ilvl="0">
      <w:lvlJc w:val="left"/>
      <w:lvlText w:val="%1."/>
      <w:numFmt w:val="decimal"/>
      <w:start w:val="4"/>
    </w:lvl>
  </w:abstractNum>
  <w:abstractNum w:abstractNumId="33">
    <w:nsid w:val="2F305DEF"/>
    <w:multiLevelType w:val="hybridMultilevel"/>
    <w:lvl w:ilvl="0">
      <w:lvlJc w:val="left"/>
      <w:lvlText w:val="%1."/>
      <w:numFmt w:val="decimal"/>
      <w:start w:val="5"/>
    </w:lvl>
  </w:abstractNum>
  <w:abstractNum w:abstractNumId="34">
    <w:nsid w:val="25A70BF7"/>
    <w:multiLevelType w:val="hybridMultilevel"/>
    <w:lvl w:ilvl="0">
      <w:lvlJc w:val="left"/>
      <w:lvlText w:val="%1."/>
      <w:numFmt w:val="decimal"/>
      <w:start w:val="6"/>
    </w:lvl>
  </w:abstractNum>
  <w:abstractNum w:abstractNumId="35">
    <w:nsid w:val="1DBABF00"/>
    <w:multiLevelType w:val="hybridMultilevel"/>
    <w:lvl w:ilvl="0">
      <w:lvlJc w:val="left"/>
      <w:lvlText w:val="%1."/>
      <w:numFmt w:val="decimal"/>
      <w:start w:val="7"/>
    </w:lvl>
  </w:abstractNum>
  <w:abstractNum w:abstractNumId="36">
    <w:nsid w:val="4AD084E9"/>
    <w:multiLevelType w:val="hybridMultilevel"/>
    <w:lvl w:ilvl="0">
      <w:lvlJc w:val="left"/>
      <w:lvlText w:val="%1."/>
      <w:numFmt w:val="decimal"/>
      <w:start w:val="8"/>
    </w:lvl>
  </w:abstractNum>
  <w:abstractNum w:abstractNumId="37">
    <w:nsid w:val="1F48EAA1"/>
    <w:multiLevelType w:val="hybridMultilevel"/>
    <w:lvl w:ilvl="0">
      <w:lvlJc w:val="left"/>
      <w:lvlText w:val="%1."/>
      <w:numFmt w:val="decimal"/>
      <w:start w:val="9"/>
    </w:lvl>
  </w:abstractNum>
  <w:abstractNum w:abstractNumId="38">
    <w:nsid w:val="1381823A"/>
    <w:multiLevelType w:val="hybridMultilevel"/>
    <w:lvl w:ilvl="0">
      <w:lvlJc w:val="left"/>
      <w:lvlText w:val="%1."/>
      <w:numFmt w:val="decimal"/>
      <w:start w:val="10"/>
    </w:lvl>
  </w:abstractNum>
  <w:abstractNum w:abstractNumId="39">
    <w:nsid w:val="5DB70AE5"/>
    <w:multiLevelType w:val="hybridMultilevel"/>
    <w:lvl w:ilvl="0">
      <w:lvlJc w:val="left"/>
      <w:lvlText w:val="%1."/>
      <w:numFmt w:val="decimal"/>
      <w:start w:val="11"/>
    </w:lvl>
  </w:abstractNum>
  <w:abstractNum w:abstractNumId="40">
    <w:nsid w:val="100F8FCA"/>
    <w:multiLevelType w:val="hybridMultilevel"/>
    <w:lvl w:ilvl="0">
      <w:lvlJc w:val="left"/>
      <w:lvlText w:val="%1."/>
      <w:numFmt w:val="decimal"/>
      <w:start w:val="12"/>
    </w:lvl>
  </w:abstractNum>
  <w:abstractNum w:abstractNumId="41">
    <w:nsid w:val="6590700B"/>
    <w:multiLevelType w:val="hybridMultilevel"/>
    <w:lvl w:ilvl="0">
      <w:lvlJc w:val="left"/>
      <w:lvlText w:val="%1."/>
      <w:numFmt w:val="decimal"/>
      <w:start w:val="13"/>
    </w:lvl>
  </w:abstractNum>
  <w:abstractNum w:abstractNumId="42">
    <w:nsid w:val="15014ACB"/>
    <w:multiLevelType w:val="hybridMultilevel"/>
    <w:lvl w:ilvl="0">
      <w:lvlJc w:val="left"/>
      <w:lvlText w:val="%1."/>
      <w:numFmt w:val="decimal"/>
      <w:start w:val="14"/>
    </w:lvl>
  </w:abstractNum>
  <w:abstractNum w:abstractNumId="43">
    <w:nsid w:val="5F5E7FD0"/>
    <w:multiLevelType w:val="hybridMultilevel"/>
    <w:lvl w:ilvl="0">
      <w:lvlJc w:val="left"/>
      <w:lvlText w:val="%1."/>
      <w:numFmt w:val="decimal"/>
      <w:start w:val="15"/>
    </w:lvl>
  </w:abstractNum>
  <w:abstractNum w:abstractNumId="44">
    <w:nsid w:val="98A3148"/>
    <w:multiLevelType w:val="hybridMultilevel"/>
    <w:lvl w:ilvl="0">
      <w:lvlJc w:val="left"/>
      <w:lvlText w:val="%1."/>
      <w:numFmt w:val="decimal"/>
      <w:start w:val="16"/>
    </w:lvl>
  </w:abstractNum>
  <w:abstractNum w:abstractNumId="45">
    <w:nsid w:val="799D0247"/>
    <w:multiLevelType w:val="hybridMultilevel"/>
    <w:lvl w:ilvl="0">
      <w:lvlJc w:val="left"/>
      <w:lvlText w:val="%1."/>
      <w:numFmt w:val="decimal"/>
      <w:start w:val="17"/>
    </w:lvl>
  </w:abstractNum>
  <w:abstractNum w:abstractNumId="46">
    <w:nsid w:val="6B94764"/>
    <w:multiLevelType w:val="hybridMultilevel"/>
    <w:lvl w:ilvl="0">
      <w:lvlJc w:val="left"/>
      <w:lvlText w:val="%1."/>
      <w:numFmt w:val="decimal"/>
      <w:start w:val="18"/>
    </w:lvl>
  </w:abstractNum>
  <w:abstractNum w:abstractNumId="47">
    <w:nsid w:val="42C296BD"/>
    <w:multiLevelType w:val="hybridMultilevel"/>
    <w:lvl w:ilvl="0">
      <w:lvlJc w:val="left"/>
      <w:lvlText w:val="%1."/>
      <w:numFmt w:val="decimal"/>
      <w:start w:val="19"/>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decimal"/>
      <w:start w:val="104"/>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54">
    <w:nsid w:val="51D9C56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55">
    <w:nsid w:val="613EFDC5"/>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abstractNum>
  <w:abstractNum w:abstractNumId="56">
    <w:nsid w:val="BF72B14"/>
    <w:multiLevelType w:val="hybridMultilevel"/>
    <w:lvl w:ilvl="0">
      <w:lvlJc w:val="left"/>
      <w:lvlText w:val="(%1)"/>
      <w:numFmt w:val="lowerLetter"/>
      <w:start w:val="5"/>
    </w:lvl>
    <w:lvl w:ilvl="1">
      <w:lvlJc w:val="left"/>
      <w:lvlText w:val="(%2)"/>
      <w:numFmt w:val="lowerRoman"/>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decimal"/>
      <w:start w:val="24"/>
    </w:lvl>
    <w:lvl w:ilvl="1">
      <w:lvlJc w:val="left"/>
      <w:lvlText w:val="(%2)"/>
      <w:numFmt w:val="lowerLetter"/>
      <w:start w:val="5"/>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lowerLetter"/>
      <w:start w:val="2"/>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1"/>
    </w:lvl>
  </w:abstractNum>
  <w:abstractNum w:abstractNumId="66">
    <w:nsid w:val="6A5EE64"/>
    <w:multiLevelType w:val="hybridMultilevel"/>
    <w:lvl w:ilvl="0">
      <w:lvlJc w:val="left"/>
      <w:lvlText w:val="(%1)"/>
      <w:numFmt w:val="lowerLetter"/>
      <w:start w:val="6"/>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2"/>
    </w:lvl>
  </w:abstractNum>
  <w:abstractNum w:abstractNumId="70">
    <w:nsid w:val="71EA1109"/>
    <w:multiLevelType w:val="hybridMultilevel"/>
    <w:lvl w:ilvl="0">
      <w:lvlJc w:val="left"/>
      <w:lvlText w:val="%1"/>
      <w:numFmt w:val="lowerLetter"/>
      <w:start w:val="1"/>
    </w:lvl>
    <w:lvl w:ilvl="1">
      <w:lvlJc w:val="left"/>
      <w:lvlText w:val="(%2)"/>
      <w:numFmt w:val="lowerLetter"/>
      <w:start w:val="1"/>
    </w:lvl>
  </w:abstractNum>
  <w:abstractNum w:abstractNumId="71">
    <w:nsid w:val="100F59DC"/>
    <w:multiLevelType w:val="hybridMultilevel"/>
    <w:lvl w:ilvl="0">
      <w:lvlJc w:val="left"/>
      <w:lvlText w:val="(%1)"/>
      <w:numFmt w:val="lowerLetter"/>
      <w:start w:val="4"/>
    </w:lvl>
    <w:lvl w:ilvl="1">
      <w:lvlJc w:val="left"/>
      <w:lvlText w:val="(%2)"/>
      <w:numFmt w:val="lowerLetter"/>
      <w:start w:val="2"/>
    </w:lvl>
  </w:abstractNum>
  <w:abstractNum w:abstractNumId="72">
    <w:nsid w:val="7FB7E0AA"/>
    <w:multiLevelType w:val="hybridMultilevel"/>
    <w:lvl w:ilvl="0">
      <w:lvlJc w:val="left"/>
      <w:lvlText w:val="(%1)"/>
      <w:numFmt w:val="lowerLetter"/>
      <w:start w:val="4"/>
    </w:lvl>
  </w:abstractNum>
  <w:abstractNum w:abstractNumId="73">
    <w:nsid w:val="6EB5BD4"/>
    <w:multiLevelType w:val="hybridMultilevel"/>
    <w:lvl w:ilvl="0">
      <w:lvlJc w:val="left"/>
      <w:lvlText w:val="(%1)"/>
      <w:numFmt w:val="lowerLetter"/>
      <w:start w:val="7"/>
    </w:lvl>
    <w:lvl w:ilvl="1">
      <w:lvlJc w:val="left"/>
      <w:lvlText w:val="(%2)"/>
      <w:numFmt w:val="lowerRoman"/>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Roman"/>
      <w:start w:val="2"/>
    </w:lvl>
  </w:abstractNum>
  <w:abstractNum w:abstractNumId="76">
    <w:nsid w:val="885E1B"/>
    <w:multiLevelType w:val="hybridMultilevel"/>
    <w:lvl w:ilvl="0">
      <w:lvlJc w:val="left"/>
      <w:lvlText w:val="(%1)"/>
      <w:numFmt w:val="lowerRoman"/>
      <w:start w:val="2"/>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3"/>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decimal"/>
      <w:start w:val="4"/>
    </w:lvl>
  </w:abstractNum>
  <w:abstractNum w:abstractNumId="81">
    <w:nsid w:val="3222E7CD"/>
    <w:multiLevelType w:val="hybridMultilevel"/>
    <w:lvl w:ilvl="0">
      <w:lvlJc w:val="left"/>
      <w:lvlText w:val="%1."/>
      <w:numFmt w:val="decimal"/>
      <w:start w:val="5"/>
    </w:lvl>
    <w:lvl w:ilvl="1">
      <w:lvlJc w:val="left"/>
      <w:lvlText w:val="(%2)"/>
      <w:numFmt w:val="lowerLetter"/>
      <w:start w:val="1"/>
    </w:lvl>
  </w:abstractNum>
  <w:abstractNum w:abstractNumId="82">
    <w:nsid w:val="74DE0EE3"/>
    <w:multiLevelType w:val="hybridMultilevel"/>
    <w:lvl w:ilvl="0">
      <w:lvlJc w:val="left"/>
      <w:lvlText w:val="%1"/>
      <w:numFmt w:val="decimal"/>
      <w:start w:val="1"/>
    </w:lvl>
    <w:lvl w:ilvl="1">
      <w:lvlJc w:val="left"/>
      <w:lvlText w:val="(%2)"/>
      <w:numFmt w:val="lowerLetter"/>
      <w:start w:val="3"/>
    </w:lvl>
  </w:abstractNum>
  <w:abstractNum w:abstractNumId="83">
    <w:nsid w:val="68EBC550"/>
    <w:multiLevelType w:val="hybridMultilevel"/>
    <w:lvl w:ilvl="0">
      <w:lvlJc w:val="left"/>
      <w:lvlText w:val="%1."/>
      <w:numFmt w:val="decimal"/>
      <w:start w:val="6"/>
    </w:lvl>
    <w:lvl w:ilvl="1">
      <w:lvlJc w:val="left"/>
      <w:lvlText w:val="%2"/>
      <w:numFmt w:val="lowerLetter"/>
      <w:start w:val="1"/>
    </w:lvl>
  </w:abstractNum>
  <w:abstractNum w:abstractNumId="84">
    <w:nsid w:val="2DF6D648"/>
    <w:multiLevelType w:val="hybridMultilevel"/>
    <w:lvl w:ilvl="0">
      <w:lvlJc w:val="left"/>
      <w:lvlText w:val="%1."/>
      <w:numFmt w:val="decimal"/>
      <w:start w:val="10"/>
    </w:lvl>
  </w:abstractNum>
  <w:abstractNum w:abstractNumId="85">
    <w:nsid w:val="46B7D447"/>
    <w:multiLevelType w:val="hybridMultilevel"/>
    <w:lvl w:ilvl="0">
      <w:lvlJc w:val="left"/>
      <w:lvlText w:val="%1."/>
      <w:numFmt w:val="decimal"/>
      <w:start w:val="14"/>
    </w:lvl>
  </w:abstractNum>
  <w:abstractNum w:abstractNumId="86">
    <w:nsid w:val="4A2AC315"/>
    <w:multiLevelType w:val="hybridMultilevel"/>
    <w:lvl w:ilvl="0">
      <w:lvlJc w:val="left"/>
      <w:lvlText w:val="1"/>
      <w:numFmt w:val="bullet"/>
      <w:start w:val="1"/>
    </w:lvl>
  </w:abstractNum>
  <w:abstractNum w:abstractNumId="87">
    <w:nsid w:val="39EE015C"/>
    <w:multiLevelType w:val="hybridMultilevel"/>
    <w:lvl w:ilvl="0">
      <w:lvlJc w:val="left"/>
      <w:lvlText w:val="2"/>
      <w:numFmt w:val="bullet"/>
      <w:start w:val="1"/>
    </w:lvl>
  </w:abstractNum>
  <w:abstractNum w:abstractNumId="88">
    <w:nsid w:val="57FC4FBB"/>
    <w:multiLevelType w:val="hybridMultilevel"/>
    <w:lvl w:ilvl="0">
      <w:lvlJc w:val="left"/>
      <w:lvlText w:val="3"/>
      <w:numFmt w:val="bullet"/>
      <w:start w:val="1"/>
    </w:lvl>
  </w:abstractNum>
  <w:abstractNum w:abstractNumId="89">
    <w:nsid w:val="CC1016F"/>
    <w:multiLevelType w:val="hybridMultilevel"/>
    <w:lvl w:ilvl="0">
      <w:lvlJc w:val="left"/>
      <w:lvlText w:val="4"/>
      <w:numFmt w:val="bullet"/>
      <w:start w:val="1"/>
    </w:lvl>
    <w:lvl w:ilvl="1">
      <w:lvlJc w:val="left"/>
      <w:lvlText w:val="(%2)"/>
      <w:numFmt w:val="lowerLetter"/>
      <w:start w:val="1"/>
    </w:lvl>
  </w:abstractNum>
  <w:abstractNum w:abstractNumId="90">
    <w:nsid w:val="43F18422"/>
    <w:multiLevelType w:val="hybridMultilevel"/>
    <w:lvl w:ilvl="0">
      <w:lvlJc w:val="left"/>
      <w:lvlText w:val="5"/>
      <w:numFmt w:val="bullet"/>
      <w:start w:val="1"/>
    </w:lvl>
    <w:lvl w:ilvl="1">
      <w:lvlJc w:val="left"/>
      <w:lvlText w:val="(%2)"/>
      <w:numFmt w:val="lowerLetter"/>
      <w:start w:val="1"/>
    </w:lvl>
  </w:abstractNum>
  <w:abstractNum w:abstractNumId="91">
    <w:nsid w:val="60EF0119"/>
    <w:multiLevelType w:val="hybridMultilevel"/>
    <w:lvl w:ilvl="0">
      <w:lvlJc w:val="left"/>
      <w:lvlText w:val="1"/>
      <w:numFmt w:val="bullet"/>
      <w:start w:val="1"/>
    </w:lvl>
  </w:abstractNum>
  <w:abstractNum w:abstractNumId="92">
    <w:nsid w:val="26F324BA"/>
    <w:multiLevelType w:val="hybridMultilevel"/>
    <w:lvl w:ilvl="0">
      <w:lvlJc w:val="left"/>
      <w:lvlText w:val="2"/>
      <w:numFmt w:val="bullet"/>
      <w:start w:val="1"/>
    </w:lvl>
  </w:abstractNum>
  <w:abstractNum w:abstractNumId="93">
    <w:nsid w:val="7F01579B"/>
    <w:multiLevelType w:val="hybridMultilevel"/>
    <w:lvl w:ilvl="0">
      <w:lvlJc w:val="left"/>
      <w:lvlText w:val="3"/>
      <w:numFmt w:val="bullet"/>
      <w:start w:val="1"/>
    </w:lvl>
  </w:abstractNum>
  <w:abstractNum w:abstractNumId="94">
    <w:nsid w:val="49DA307D"/>
    <w:multiLevelType w:val="hybridMultilevel"/>
    <w:lvl w:ilvl="0">
      <w:lvlJc w:val="left"/>
      <w:lvlText w:val="4"/>
      <w:numFmt w:val="bullet"/>
      <w:start w:val="1"/>
    </w:lvl>
    <w:lvl w:ilvl="1">
      <w:lvlJc w:val="left"/>
      <w:lvlText w:val="(%2)"/>
      <w:numFmt w:val="lowerLetter"/>
      <w:start w:val="1"/>
    </w:lvl>
  </w:abstractNum>
  <w:abstractNum w:abstractNumId="95">
    <w:nsid w:val="7055A5F5"/>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90" Type="http://schemas.openxmlformats.org/officeDocument/2006/relationships/image" Target="media/image166.png"/><Relationship Id="rId210"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173" Type="http://schemas.openxmlformats.org/officeDocument/2006/relationships/hyperlink" Target="http://www.sec.gov/Archives/edgar/data/1788882/000162828020015173/exhibit31-8xkxamendeda.htm" TargetMode="External"/><Relationship Id="rId174" Type="http://schemas.openxmlformats.org/officeDocument/2006/relationships/hyperlink" Target="http://www.sec.gov/Archives/edgar/data/1788882/000178888222000026/a31rootcharteramendment.htm" TargetMode="External"/><Relationship Id="rId175" Type="http://schemas.openxmlformats.org/officeDocument/2006/relationships/hyperlink" Target="http://www.sec.gov/Archives/edgar/data/0001788882/000119312521289291/d236036dex31.htm" TargetMode="External"/><Relationship Id="rId176" Type="http://schemas.openxmlformats.org/officeDocument/2006/relationships/hyperlink" Target="http://www.sec.gov/Archives/edgar/data/1788882/000162828020014581/exhibit41-sx1a1xformof.htm" TargetMode="External"/><Relationship Id="rId177" Type="http://schemas.openxmlformats.org/officeDocument/2006/relationships/hyperlink" Target="http://www.sec.gov/Archives/edgar/data/0001788882/000119312521289291/d236036dex41.htm" TargetMode="External"/><Relationship Id="rId178" Type="http://schemas.openxmlformats.org/officeDocument/2006/relationships/hyperlink" Target="http://www.sec.gov/Archives/edgar/data/1788882/000119312522018949/d295910dex41.htm" TargetMode="External"/><Relationship Id="rId179" Type="http://schemas.openxmlformats.org/officeDocument/2006/relationships/hyperlink" Target="https://www.sec.gov/Archives/edgar/data/1788882/000119312522018949/d295910dex42.htm" TargetMode="External"/><Relationship Id="rId180" Type="http://schemas.openxmlformats.org/officeDocument/2006/relationships/hyperlink" Target="https://www.sec.gov/Archives/edgar/data/1788882/000178888221000042/a992-espp.htm" TargetMode="External"/><Relationship Id="rId181" Type="http://schemas.openxmlformats.org/officeDocument/2006/relationships/hyperlink" Target="https://www.sec.gov/Archives/edgar/data/1788882/000162828022029241/a101firstamendmentto2020em.htm" TargetMode="External"/><Relationship Id="rId182" Type="http://schemas.openxmlformats.org/officeDocument/2006/relationships/hyperlink" Target="http://www.sec.gov/Archives/edgar/data/1788882/000178888220000016/a101rootinc2020equityi.htm" TargetMode="External"/><Relationship Id="rId183" Type="http://schemas.openxmlformats.org/officeDocument/2006/relationships/hyperlink" Target="https://www.sec.gov/Archives/edgar/data/1788882/000162828022029241/a102firstamendmentto2020eq.htm" TargetMode="External"/><Relationship Id="rId184" Type="http://schemas.openxmlformats.org/officeDocument/2006/relationships/hyperlink" Target="http://www.sec.gov/Archives/edgar/data/1788882/000162828020014305/exhibit101-sx1xamended.htm" TargetMode="External"/><Relationship Id="rId185" Type="http://schemas.openxmlformats.org/officeDocument/2006/relationships/hyperlink" Target="https://www.sec.gov/Archives/edgar/data/1788882/000162828022029241/a103firstamendmentto2015am.htm" TargetMode="External"/><Relationship Id="rId186" Type="http://schemas.openxmlformats.org/officeDocument/2006/relationships/hyperlink" Target="https://www.sec.gov/Archives/edgar/data/1788882/000162828022003524/a102executiveemploymentagr.htm" TargetMode="External"/><Relationship Id="rId187" Type="http://schemas.openxmlformats.org/officeDocument/2006/relationships/hyperlink" Target="http://www.sec.gov/Archives/edgar/data/0001788882/000178888221000011/atimmemploymentagreement-1.htm" TargetMode="External"/><Relationship Id="rId188" Type="http://schemas.openxmlformats.org/officeDocument/2006/relationships/hyperlink" Target="http://www.sec.gov/Archives/edgar/data/0001788882/000178888221000011/drosenthalemploymentagreem.htm" TargetMode="External"/><Relationship Id="rId189" Type="http://schemas.openxmlformats.org/officeDocument/2006/relationships/hyperlink" Target="https://www.sec.gov/Archives/edgar/data/1788882/000162828022003524/a1027firstamendmenttoamend.htm" TargetMode="External"/><Relationship Id="rId191" Type="http://schemas.openxmlformats.org/officeDocument/2006/relationships/hyperlink" Target="https://www.sec.gov/Archives/edgar/data/1788882/000162828022003524/a1026firstamendmenttooffer.htm" TargetMode="External"/><Relationship Id="rId192" Type="http://schemas.openxmlformats.org/officeDocument/2006/relationships/hyperlink" Target="https://www.sec.gov/Archives/edgar/data/1788882/000178888222000013/executiveemploymentagreeme.htm" TargetMode="External"/><Relationship Id="rId193" Type="http://schemas.openxmlformats.org/officeDocument/2006/relationships/hyperlink" Target="https://www.sec.gov/Archives/edgar/data/1788882/000178888222000025/a102executiveemploymentagr.htm" TargetMode="External"/><Relationship Id="rId194" Type="http://schemas.openxmlformats.org/officeDocument/2006/relationships/hyperlink" Target="https://www.sec.gov/Archives/edgar/data/1788882/000162828022003524/a103formofexecutiveretenti.htm" TargetMode="External"/><Relationship Id="rId195" Type="http://schemas.openxmlformats.org/officeDocument/2006/relationships/hyperlink" Target="https://www.sec.gov/Archives/edgar/data/1788882/000162828022003524/a104rootincnon-employeedir.htm" TargetMode="External"/><Relationship Id="rId196" Type="http://schemas.openxmlformats.org/officeDocument/2006/relationships/hyperlink" Target="http://www.sec.gov/Archives/edgar/data/1788882/000162828020014305/exhibit102-sx1xformofn.htm" TargetMode="External"/><Relationship Id="rId197" Type="http://schemas.openxmlformats.org/officeDocument/2006/relationships/hyperlink" Target="http://www.sec.gov/Archives/edgar/data/1788882/000178888221000011/exhibit107-formofnoticeofs.htm" TargetMode="External"/><Relationship Id="rId198" Type="http://schemas.openxmlformats.org/officeDocument/2006/relationships/hyperlink" Target="http://www.sec.gov/Archives/edgar/data/0001788882/000178888221000033/a102formofrootinc2020equit.htm" TargetMode="External"/><Relationship Id="rId199" Type="http://schemas.openxmlformats.org/officeDocument/2006/relationships/hyperlink" Target="http://www.sec.gov/Archives/edgar/data/0001788882/000178888221000062/a101rootincstockoptiongran.htm" TargetMode="External"/><Relationship Id="rId200" Type="http://schemas.openxmlformats.org/officeDocument/2006/relationships/hyperlink" Target="https://www.sec.gov/Archives/edgar/data/1788882/000162828022003524/a1022formofdirectorandoffi.htm" TargetMode="External"/><Relationship Id="rId201" Type="http://schemas.openxmlformats.org/officeDocument/2006/relationships/hyperlink" Target="http://www.sec.gov/Archives/edgar/data/1788882/000162828020014305/exhibit104-sx1xformofr.htm" TargetMode="External"/><Relationship Id="rId202" Type="http://schemas.openxmlformats.org/officeDocument/2006/relationships/hyperlink" Target="https://www.sec.gov/Archives/edgar/data/1788882/000178888222000020/a101termloanagreementexecu.htm" TargetMode="External"/><Relationship Id="rId203" Type="http://schemas.openxmlformats.org/officeDocument/2006/relationships/hyperlink" Target="http://www.sec.gov/Archives/edgar/data/0001788882/000119312521289291/d236036dex101.htm" TargetMode="External"/><Relationship Id="rId204" Type="http://schemas.openxmlformats.org/officeDocument/2006/relationships/hyperlink" Target="https://www.sec.gov/Archives/edgar/data/1788882/000178888222000025/a103firstamendmenttocommer.htm" TargetMode="External"/><Relationship Id="rId205" Type="http://schemas.openxmlformats.org/officeDocument/2006/relationships/hyperlink" Target="https://www.sec.gov/Archives/edgar/data/1788882/000162828022003524/a1030rootincexecutivecompe.htm" TargetMode="External"/><Relationship Id="rId206" Type="http://schemas.openxmlformats.org/officeDocument/2006/relationships/hyperlink" Target="https://www.sec.gov/Archives/edgar/data/1788882/000178888222000020/a109rootcashincentiveagree.htm" TargetMode="External"/><Relationship Id="rId207" Type="http://schemas.openxmlformats.org/officeDocument/2006/relationships/hyperlink" Target="http://www.sec.gov/Archives/edgar/data/1788882/000095012321010425/d72455dex101.htm" TargetMode="External"/><Relationship Id="rId208" Type="http://schemas.openxmlformats.org/officeDocument/2006/relationships/hyperlink" Target="http://www.sec.gov/Archives/edgar/data/0001788882/000119312521289291/d236036dex103.htm" TargetMode="External"/><Relationship Id="rId209" Type="http://schemas.openxmlformats.org/officeDocument/2006/relationships/hyperlink" Target="http://www.sec.gov/Archives/edgar/data/1788882/000162828020014305/exhibit42-sx1xfifthame.htm" TargetMode="External"/><Relationship Id="rId211" Type="http://schemas.openxmlformats.org/officeDocument/2006/relationships/hyperlink" Target="https://www.sec.gov/Archives/edgar/data/1788882/000162828022003524/a105amendmenttothefifthame.htm" TargetMode="External"/><Relationship Id="rId212" Type="http://schemas.openxmlformats.org/officeDocument/2006/relationships/hyperlink" Target="http://www.sec.gov/Archives/edgar/data/1788882/000119312522018949/d295910dex102.htm" TargetMode="External"/><Relationship Id="rId213" Type="http://schemas.openxmlformats.org/officeDocument/2006/relationships/hyperlink" Target="http://www.sec.gov/Archives/edgar/data/1788882/000119312522018949/d295910dex103.htm" TargetMode="External"/><Relationship Id="rId214" Type="http://schemas.openxmlformats.org/officeDocument/2006/relationships/hyperlink" Target="https://www.sec.gov/Archives/edgar/data/1788882/000162828022003524/a12312021exhibit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2023-02-22T20:39:05Z</dcterms:created>
  <dcterms:modified xsi:type="dcterms:W3CDTF">2023-02-22T20:39:05Z</dcterms:modified>
</cp:coreProperties>
</file>