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74" w:lineRule="exact"/>
        <w:rPr>
          <w:sz w:val="24"/>
          <w:szCs w:val="24"/>
          <w:color w:val="auto"/>
        </w:rPr>
      </w:pPr>
    </w:p>
    <w:p>
      <w:pPr>
        <w:jc w:val="center"/>
        <w:ind w:left="4060" w:right="1420" w:hanging="2647"/>
        <w:spacing w:after="0" w:line="261" w:lineRule="auto"/>
        <w:tabs>
          <w:tab w:leader="none" w:pos="1604"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jc w:val="center"/>
        <w:ind w:left="3540" w:right="1420" w:hanging="2133"/>
        <w:spacing w:after="0" w:line="582" w:lineRule="auto"/>
        <w:tabs>
          <w:tab w:leader="none" w:pos="15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from____________to____________</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001-39658</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ROOT, INC.</w:t>
      </w:r>
    </w:p>
    <w:p>
      <w:pPr>
        <w:sectPr>
          <w:pgSz w:w="11900" w:h="16838" w:orient="portrait"/>
          <w:cols w:equalWidth="0" w:num="1">
            <w:col w:w="11260"/>
          </w:cols>
          <w:pgMar w:left="320" w:top="1150" w:right="319" w:bottom="1440" w:gutter="0" w:footer="0" w:header="0"/>
        </w:sectPr>
      </w:pPr>
    </w:p>
    <w:p>
      <w:pPr>
        <w:spacing w:after="0" w:line="4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60325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54"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80 E. Rich Street, Suite 500</w:t>
      </w:r>
    </w:p>
    <w:p>
      <w:pPr>
        <w:spacing w:after="0" w:line="29"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Columbus, Ohio</w:t>
      </w:r>
    </w:p>
    <w:p>
      <w:pPr>
        <w:spacing w:after="0" w:line="5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8"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8"/>
          <w:szCs w:val="18"/>
          <w:b w:val="1"/>
          <w:bCs w:val="1"/>
          <w:color w:val="auto"/>
        </w:rPr>
        <w:t>(866) 980-9431</w:t>
      </w:r>
    </w:p>
    <w:p>
      <w:pPr>
        <w:spacing w:after="0" w:line="31"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84-2717903</w:t>
      </w:r>
    </w:p>
    <w:p>
      <w:pPr>
        <w:spacing w:after="0" w:line="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43215</w:t>
      </w:r>
    </w:p>
    <w:p>
      <w:pPr>
        <w:spacing w:after="0" w:line="16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2" w:lineRule="exact"/>
        <w:rPr>
          <w:sz w:val="24"/>
          <w:szCs w:val="24"/>
          <w:color w:val="auto"/>
        </w:rPr>
      </w:pPr>
    </w:p>
    <w:p>
      <w:pPr>
        <w:sectPr>
          <w:pgSz w:w="11900" w:h="16838" w:orient="portrait"/>
          <w:cols w:equalWidth="0" w:num="2">
            <w:col w:w="7940" w:space="720"/>
            <w:col w:w="2600"/>
          </w:cols>
          <w:pgMar w:left="320" w:top="1150"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57150</wp:posOffset>
            </wp:positionV>
            <wp:extent cx="1466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173"/>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ROOT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8"/>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$0.0001 par value per share</w:t>
            </w: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16"/>
                <w:szCs w:val="16"/>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bl>
    <w:p>
      <w:pPr>
        <w:spacing w:after="0" w:line="117"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ind w:left="56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July 31, 2024, the number of outstanding shares of the registrant’s Class A common stock, par value $0.0001 per share, was 10.6 million and the number of outstanding shares of the registrant’s Class B common stock, par value $0.0001 per share, was 4.4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0" w:right="319" w:bottom="1440" w:gutter="0" w:footer="0" w:header="0"/>
          <w:type w:val="continuous"/>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1036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5"/>
          </w:tcPr>
          <w:p>
            <w:pPr>
              <w:jc w:val="center"/>
              <w:ind w:right="380"/>
              <w:spacing w:after="0" w:line="182" w:lineRule="exact"/>
              <w:rPr>
                <w:sz w:val="20"/>
                <w:szCs w:val="20"/>
                <w:color w:val="auto"/>
              </w:rPr>
            </w:pPr>
            <w:r>
              <w:rPr>
                <w:rFonts w:ascii="Times New Roman" w:cs="Times New Roman" w:eastAsia="Times New Roman" w:hAnsi="Times New Roman"/>
                <w:sz w:val="18"/>
                <w:szCs w:val="18"/>
                <w:color w:val="0000FF"/>
                <w:w w:val="99"/>
              </w:rPr>
              <w:t>ii</w:t>
            </w:r>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3560" w:type="dxa"/>
            <w:vAlign w:val="bottom"/>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12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 - Unaudited</w:t>
            </w:r>
          </w:p>
        </w:tc>
        <w:tc>
          <w:tcPr>
            <w:tcW w:w="1140" w:type="dxa"/>
            <w:vAlign w:val="bottom"/>
            <w:gridSpan w:val="2"/>
          </w:tcPr>
          <w:p>
            <w:pPr>
              <w:spacing w:after="0"/>
              <w:rPr>
                <w:sz w:val="18"/>
                <w:szCs w:val="18"/>
                <w:color w:val="auto"/>
              </w:rPr>
            </w:pPr>
          </w:p>
        </w:tc>
        <w:tc>
          <w:tcPr>
            <w:tcW w:w="2260" w:type="dxa"/>
            <w:vAlign w:val="bottom"/>
            <w:gridSpan w:val="8"/>
          </w:tcPr>
          <w:p>
            <w:pPr>
              <w:spacing w:after="0"/>
              <w:rPr>
                <w:sz w:val="18"/>
                <w:szCs w:val="18"/>
                <w:color w:val="auto"/>
              </w:rPr>
            </w:pPr>
          </w:p>
        </w:tc>
        <w:tc>
          <w:tcPr>
            <w:tcW w:w="3560" w:type="dxa"/>
            <w:vAlign w:val="bottom"/>
            <w:gridSpan w:val="4"/>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 Unaudited</w:t>
            </w:r>
          </w:p>
        </w:tc>
        <w:tc>
          <w:tcPr>
            <w:tcW w:w="2940" w:type="dxa"/>
            <w:vAlign w:val="bottom"/>
            <w:gridSpan w:val="3"/>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Unaudited</w:t>
            </w:r>
          </w:p>
        </w:tc>
        <w:tc>
          <w:tcPr>
            <w:tcW w:w="780" w:type="dxa"/>
            <w:vAlign w:val="bottom"/>
          </w:tcPr>
          <w:p>
            <w:pPr>
              <w:spacing w:after="0"/>
              <w:rPr>
                <w:sz w:val="18"/>
                <w:szCs w:val="18"/>
                <w:color w:val="auto"/>
              </w:rPr>
            </w:pP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 Unaudited</w:t>
            </w:r>
          </w:p>
        </w:tc>
        <w:tc>
          <w:tcPr>
            <w:tcW w:w="5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60" w:type="dxa"/>
            <w:vAlign w:val="bottom"/>
          </w:tcPr>
          <w:p>
            <w:pPr>
              <w:spacing w:after="0"/>
              <w:rPr>
                <w:sz w:val="18"/>
                <w:szCs w:val="18"/>
                <w:color w:val="auto"/>
              </w:rPr>
            </w:pPr>
          </w:p>
        </w:tc>
        <w:tc>
          <w:tcPr>
            <w:tcW w:w="6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340" w:type="dxa"/>
            <w:vAlign w:val="bottom"/>
          </w:tcPr>
          <w:p>
            <w:pPr>
              <w:spacing w:after="0"/>
              <w:rPr>
                <w:sz w:val="18"/>
                <w:szCs w:val="18"/>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340" w:type="dxa"/>
            <w:vAlign w:val="bottom"/>
          </w:tcPr>
          <w:p>
            <w:pPr>
              <w:spacing w:after="0"/>
              <w:rPr>
                <w:sz w:val="18"/>
                <w:szCs w:val="18"/>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gridSpan w:val="2"/>
          </w:tcPr>
          <w:p>
            <w:pPr>
              <w:spacing w:after="0"/>
              <w:rPr>
                <w:sz w:val="18"/>
                <w:szCs w:val="18"/>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38</w:t>
            </w:r>
          </w:p>
        </w:tc>
        <w:tc>
          <w:tcPr>
            <w:tcW w:w="340" w:type="dxa"/>
            <w:vAlign w:val="bottom"/>
          </w:tcPr>
          <w:p>
            <w:pPr>
              <w:spacing w:after="0"/>
              <w:rPr>
                <w:sz w:val="18"/>
                <w:szCs w:val="18"/>
                <w:color w:val="auto"/>
              </w:rPr>
            </w:pPr>
          </w:p>
        </w:tc>
      </w:tr>
      <w:tr>
        <w:trPr>
          <w:trHeight w:val="479"/>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340" w:type="dxa"/>
            <w:vAlign w:val="bottom"/>
          </w:tcPr>
          <w:p>
            <w:pPr>
              <w:spacing w:after="0"/>
              <w:rPr>
                <w:sz w:val="24"/>
                <w:szCs w:val="24"/>
                <w:color w:val="auto"/>
              </w:rPr>
            </w:pPr>
          </w:p>
        </w:tc>
        <w:tc>
          <w:tcPr>
            <w:tcW w:w="1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340" w:type="dxa"/>
            <w:vAlign w:val="bottom"/>
          </w:tcPr>
          <w:p>
            <w:pPr>
              <w:spacing w:after="0"/>
              <w:rPr>
                <w:sz w:val="24"/>
                <w:szCs w:val="24"/>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60" w:type="dxa"/>
            <w:vAlign w:val="bottom"/>
          </w:tcPr>
          <w:p>
            <w:pPr>
              <w:spacing w:after="0"/>
              <w:rPr>
                <w:sz w:val="18"/>
                <w:szCs w:val="18"/>
                <w:color w:val="auto"/>
              </w:rPr>
            </w:pPr>
          </w:p>
        </w:tc>
        <w:tc>
          <w:tcPr>
            <w:tcW w:w="3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60" w:type="dxa"/>
            <w:vAlign w:val="bottom"/>
            <w:tcBorders>
              <w:top w:val="single" w:sz="8" w:color="0000FF"/>
            </w:tcBorders>
            <w:gridSpan w:val="6"/>
          </w:tcPr>
          <w:p>
            <w:pPr>
              <w:spacing w:after="0"/>
              <w:rPr>
                <w:sz w:val="18"/>
                <w:szCs w:val="18"/>
                <w:color w:val="auto"/>
              </w:rPr>
            </w:pPr>
          </w:p>
        </w:tc>
        <w:tc>
          <w:tcPr>
            <w:tcW w:w="366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34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40</w:t>
            </w:r>
          </w:p>
        </w:tc>
        <w:tc>
          <w:tcPr>
            <w:tcW w:w="340" w:type="dxa"/>
            <w:vAlign w:val="bottom"/>
          </w:tcPr>
          <w:p>
            <w:pPr>
              <w:spacing w:after="0"/>
              <w:rPr>
                <w:sz w:val="18"/>
                <w:szCs w:val="18"/>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2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340" w:type="dxa"/>
            <w:vAlign w:val="bottom"/>
          </w:tcPr>
          <w:p>
            <w:pPr>
              <w:spacing w:after="0"/>
              <w:rPr>
                <w:sz w:val="18"/>
                <w:szCs w:val="18"/>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18"/>
                <w:szCs w:val="18"/>
                <w:color w:val="auto"/>
              </w:rPr>
            </w:pPr>
          </w:p>
        </w:tc>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040" w:type="dxa"/>
            <w:vAlign w:val="bottom"/>
            <w:gridSpan w:val="1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340" w:type="dxa"/>
            <w:vAlign w:val="bottom"/>
          </w:tcPr>
          <w:p>
            <w:pPr>
              <w:spacing w:after="0"/>
              <w:rPr>
                <w:sz w:val="18"/>
                <w:szCs w:val="18"/>
                <w:color w:val="auto"/>
              </w:rPr>
            </w:pPr>
          </w:p>
        </w:tc>
      </w:tr>
      <w:tr>
        <w:trPr>
          <w:trHeight w:val="2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43</w:t>
            </w:r>
          </w:p>
        </w:tc>
        <w:tc>
          <w:tcPr>
            <w:tcW w:w="340" w:type="dxa"/>
            <w:vAlign w:val="bottom"/>
          </w:tcPr>
          <w:p>
            <w:pPr>
              <w:spacing w:after="0"/>
              <w:rPr>
                <w:sz w:val="18"/>
                <w:szCs w:val="18"/>
                <w:color w:val="auto"/>
              </w:rPr>
            </w:pPr>
          </w:p>
        </w:tc>
      </w:tr>
      <w:tr>
        <w:trPr>
          <w:trHeight w:val="21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top w:val="single" w:sz="8" w:color="0000FF"/>
            </w:tcBorders>
            <w:gridSpan w:val="2"/>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0" w:type="dxa"/>
            <w:vAlign w:val="bottom"/>
            <w:gridSpan w:val="16"/>
          </w:tcPr>
          <w:p>
            <w:pPr>
              <w:spacing w:after="0"/>
              <w:rPr>
                <w:sz w:val="18"/>
                <w:szCs w:val="18"/>
                <w:color w:val="auto"/>
              </w:rPr>
            </w:pPr>
          </w:p>
        </w:tc>
        <w:tc>
          <w:tcPr>
            <w:tcW w:w="52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44</w:t>
            </w:r>
          </w:p>
        </w:tc>
        <w:tc>
          <w:tcPr>
            <w:tcW w:w="340" w:type="dxa"/>
            <w:vAlign w:val="bottom"/>
          </w:tcPr>
          <w:p>
            <w:pPr>
              <w:spacing w:after="0"/>
              <w:rPr>
                <w:sz w:val="18"/>
                <w:szCs w:val="18"/>
                <w:color w:val="auto"/>
              </w:rPr>
            </w:pPr>
          </w:p>
        </w:tc>
      </w:tr>
      <w:tr>
        <w:trPr>
          <w:trHeight w:val="21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80" w:type="dxa"/>
            <w:vAlign w:val="bottom"/>
            <w:gridSpan w:val="2"/>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8040" w:type="dxa"/>
            <w:vAlign w:val="bottom"/>
            <w:gridSpan w:val="17"/>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34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600" w:type="dxa"/>
            <w:vAlign w:val="bottom"/>
            <w:gridSpan w:val="1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3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spacing w:after="0" w:line="129"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acquire new customers and expand our customer reach;</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profits, acquire customers, retain customers, contract with additional partners to utilize the products, or achieve other benefits from our embedded insurance offering;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distribution channels through additional partnership relationships, digital media, independent agents and referrals;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 significant long-term competitive advantage through our partnership with Carvana Group, LLC, or Carvana, and other partnerships;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embedded insurance and other partners;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 increasing inflation, a recession and/or disruptions to properly functioning financial and capital markets and interest rates on our business and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operating losses and extend our capital runway;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 licensed in all states in the United States and the timing of obtaining additional licenses and launching in new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efficiency of our telematics and behavioral data, and our ability to gather and leverage additional data;</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materially improve retention rates and our ability to realize benefits from retaining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underwrite risks accurately and charge profitable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business model and improve our capital and marketing efficiency;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improved conversion and decrease the cost of customer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efficiently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 offerings, introduce new products and expand into additional insurance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cross sell our products and attain greater value from each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operating history and ability to attain profitability;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performance of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 “capital-efficient” business and obtain and maintain desirable levels of reinsurance;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3" w:name="page4"/>
    <w:bookmarkEnd w:id="3"/>
    <w:p>
      <w:pPr>
        <w:ind w:left="660" w:right="20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further reductions in the utilization of reinsurance, which would result in retention of more premium and losses and could cause our capital requirements to increase;</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economies of scale;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 or hire personnel, and to offer competitive compensation and benefits;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a vertically integrated customer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utilize telematics to drive better customer satisfaction and retention;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any costs associated therewith;</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 autonomous claims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rate action early and react to changing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risk-based capital requirements;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anticipated from our Texas county mutual fronting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domestically;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other losses;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changes in the interpretation of laws or regulations by a regulatory authority, specific to the use of artificial intelligence;</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cybersecurity threats and prevent, or recover from, a security breach or other significant disruption of our technology systems or those of our partners and third-party service providers;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rates on our available cash and our ability to maintain compliance with our Term Loan (as defined 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The Nasdaq Stock Market listing standards;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9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“Root,” “the Company,” “we,” “our” and “us” refer to Root, Inc. and its subsidiaries.</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7"/>
                <w:szCs w:val="17"/>
                <w:color w:val="auto"/>
              </w:rPr>
            </w:pP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0" w:type="dxa"/>
            <w:vAlign w:val="bottom"/>
          </w:tcPr>
          <w:p>
            <w:pPr>
              <w:spacing w:after="0"/>
              <w:rPr>
                <w:sz w:val="1"/>
                <w:szCs w:val="1"/>
                <w:color w:val="auto"/>
              </w:rPr>
            </w:pPr>
          </w:p>
        </w:tc>
      </w:tr>
      <w:tr>
        <w:trPr>
          <w:trHeight w:val="37"/>
        </w:trPr>
        <w:tc>
          <w:tcPr>
            <w:tcW w:w="8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$227.2 and $168.4 at June 30, 2024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176"/>
        </w:trPr>
        <w:tc>
          <w:tcPr>
            <w:tcW w:w="8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Short-term investments (amortized cost: $11.7 and $0.9 at June 30, 2024 and December 31, 2023,</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receivable, net of allowance of $6.8 and $4.0 at June 30, 2024 and December 31, 2023, respectively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 and receivable, net of allowance of $1.8 at June 30, 2024 and December 31, 2023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and warrants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100.0 shares authorized, 14.1 shares issued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June 30, 2024 and December 31, 2023 (redemption value of $126.5)</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 shares authorized, 10.6 and 9.5 shares issued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convertible common stock, $0.0001 par value, 269.0 shares authorized, 4.4 and 5.0 shares issued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3"/>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7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income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net unrealized losses on investments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common share: basic and diluted (both Class A and B)</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800" w:type="dxa"/>
            <w:vAlign w:val="bottom"/>
          </w:tcPr>
          <w:p>
            <w:pPr>
              <w:jc w:val="right"/>
              <w:ind w:right="597"/>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 (both</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and B)</w:t>
            </w: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Borders>
              <w:top w:val="single" w:sz="8" w:color="auto"/>
            </w:tcBorders>
          </w:tcPr>
          <w:p>
            <w:pPr>
              <w:spacing w:after="0"/>
              <w:rPr>
                <w:sz w:val="14"/>
                <w:szCs w:val="14"/>
                <w:color w:val="auto"/>
              </w:rPr>
            </w:pPr>
          </w:p>
        </w:tc>
        <w:tc>
          <w:tcPr>
            <w:tcW w:w="138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A and Class B Convertible</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5"/>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4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76"/>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Borders>
              <w:top w:val="single" w:sz="8" w:color="auto"/>
            </w:tcBorders>
          </w:tcPr>
          <w:p>
            <w:pPr>
              <w:spacing w:after="0"/>
              <w:rPr>
                <w:sz w:val="14"/>
                <w:szCs w:val="14"/>
                <w:color w:val="auto"/>
              </w:rPr>
            </w:pPr>
          </w:p>
        </w:tc>
        <w:tc>
          <w:tcPr>
            <w:tcW w:w="138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A and Class B Convertible</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380" w:type="dxa"/>
            <w:vAlign w:val="bottom"/>
            <w:tcBorders>
              <w:right w:val="single" w:sz="8" w:color="auto"/>
            </w:tcBorders>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6"/>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4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stock—restricted stock units vesting,</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stock—option exercises and restricted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stock units vesting, net of shares withheld for</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taxes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$ 112.0</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top w:val="single" w:sz="8" w:color="auto"/>
            </w:tcBorders>
          </w:tcPr>
          <w:p>
            <w:pPr>
              <w:spacing w:after="0"/>
              <w:rPr>
                <w:sz w:val="16"/>
                <w:szCs w:val="16"/>
                <w:color w:val="auto"/>
              </w:rPr>
            </w:pPr>
          </w:p>
        </w:tc>
        <w:tc>
          <w:tcPr>
            <w:tcW w:w="2520" w:type="dxa"/>
            <w:vAlign w:val="bottom"/>
            <w:tcBorders>
              <w:top w:val="single" w:sz="8" w:color="auto"/>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top w:val="single" w:sz="8" w:color="auto"/>
              <w:bottom w:val="single" w:sz="8" w:color="auto"/>
            </w:tcBorders>
          </w:tcPr>
          <w:p>
            <w:pPr>
              <w:spacing w:after="0"/>
              <w:rPr>
                <w:sz w:val="16"/>
                <w:szCs w:val="16"/>
                <w:color w:val="auto"/>
              </w:rPr>
            </w:pPr>
          </w:p>
        </w:tc>
      </w:tr>
      <w:tr>
        <w:trPr>
          <w:trHeight w:val="193"/>
        </w:trPr>
        <w:tc>
          <w:tcPr>
            <w:tcW w:w="8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196"/>
        </w:trPr>
        <w:tc>
          <w:tcPr>
            <w:tcW w:w="8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6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7"/>
                <w:szCs w:val="17"/>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receivable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 and receivable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 reserves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call and pay downs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investments</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internally developed software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 of preferred stock and related warrants issuance costs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 w:name="page10"/>
    <w:bookmarkEnd w:id="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14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Root, Inc. is a holding company which, directly or indirectly, maintains 100% ownership of each of its subsidiaries, including, among others, Root Insurance Company and Root Property &amp; Casualty Insurance Company, both Ohio-domiciled insurance companies, and Root Reinsurance Company, Ltd., a Cayman Islands-domiciled reinsurance company, together with Root, Inc., “we,” “us” or “our.”</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were formed in 2015 and began writing personal auto insurance in July 2016. We are a technology company operating primarily a direct-to-consumer model with the majority of our personal insurance customers acquired through mobile apps. We offer auto and renters insurance products underwritten by Root Insurance Company and Root Property &amp; Casualty Insurance Company.</w:t>
      </w:r>
    </w:p>
    <w:p>
      <w:pPr>
        <w:spacing w:after="0" w:line="11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—In our opinion, all adjustments necessary for a fair presentation of the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2023 filed with the Securities and Exchange Commission, or SEC, on February 21, 2024.</w:t>
      </w:r>
    </w:p>
    <w:p>
      <w:pPr>
        <w:spacing w:after="0" w:line="12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Basis of Consolidation</w:t>
      </w:r>
      <w:r>
        <w:rPr>
          <w:rFonts w:ascii="Times New Roman" w:cs="Times New Roman" w:eastAsia="Times New Roman" w:hAnsi="Times New Roman"/>
          <w:sz w:val="18"/>
          <w:szCs w:val="18"/>
          <w:color w:val="auto"/>
        </w:rPr>
        <w:t>—The unaudited condensed consolidated financial statements include the accounts of Root, Inc. and its subsidiaries,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unaudited condensed consolidated financial statements requires management to make certain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for income taxes and allowance for expected credit losses on premium receivables and reinsurance recoverables.</w:t>
      </w:r>
    </w:p>
    <w:p>
      <w:pPr>
        <w:spacing w:after="0" w:line="12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—The following table provides a reconciliation of cash, cash equivalents and restricted cash reported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condensed consolidated balance sheets that sum to the total of the same such amount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322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220" w:type="dxa"/>
            <w:vAlign w:val="bottom"/>
            <w:gridSpan w:val="5"/>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w:t>
            </w:r>
          </w:p>
        </w:tc>
        <w:tc>
          <w:tcPr>
            <w:tcW w:w="1060" w:type="dxa"/>
            <w:vAlign w:val="bottom"/>
            <w:vMerge w:val="restart"/>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668.2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54"/>
        </w:trPr>
        <w:tc>
          <w:tcPr>
            <w:tcW w:w="80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flows</w:t>
            </w: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Deferred Policy Acquisition Costs</w:t>
      </w:r>
      <w:r>
        <w:rPr>
          <w:rFonts w:ascii="Times New Roman" w:cs="Times New Roman" w:eastAsia="Times New Roman" w:hAnsi="Times New Roman"/>
          <w:sz w:val="18"/>
          <w:szCs w:val="18"/>
          <w:color w:val="auto"/>
        </w:rPr>
        <w:t>—The following table provides a reconciliation of the beginning and ending deferred policy acquisition costs, net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amortization, reported in other assets within the condensed consolidated balance sheets as of June 30, 2024 and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5"/>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 deferred</w:t>
            </w:r>
          </w:p>
        </w:tc>
        <w:tc>
          <w:tcPr>
            <w:tcW w:w="960" w:type="dxa"/>
            <w:vAlign w:val="bottom"/>
          </w:tcPr>
          <w:p>
            <w:pPr>
              <w:spacing w:after="0"/>
              <w:rPr>
                <w:sz w:val="21"/>
                <w:szCs w:val="21"/>
                <w:color w:val="auto"/>
              </w:rPr>
            </w:pPr>
          </w:p>
        </w:tc>
        <w:tc>
          <w:tcPr>
            <w:tcW w:w="6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63"/>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June 30</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5"/>
              </w:rPr>
              <w:t>23.4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Upcoming Accounting Pronouncements—</w:t>
      </w:r>
      <w:r>
        <w:rPr>
          <w:rFonts w:ascii="Times New Roman" w:cs="Times New Roman" w:eastAsia="Times New Roman" w:hAnsi="Times New Roman"/>
          <w:sz w:val="18"/>
          <w:szCs w:val="18"/>
          <w:color w:val="auto"/>
        </w:rPr>
        <w:t>In November 2023, the Financial Accounting Standards Board, or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Update, or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looks to provide improvements to the segment disclosure by providing users 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 description of its composition and the title and position of the Chief Operating Decision Maker, or CODM, with an explanation of how the CODM uses the reported measure(s) of segment profit or loss in assessing segment performance and deciding to allocate resources. It also requires all annual disclosures about a reportable segments’ profit or loss and assets to be reported on an interim basis. Although we operate in only one reporting segment, we are still required to provide all the disclosures required by this ASU and all existing segment disclosures in Topic 280.</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ASU is to be applied retrospectively to all prior periods presented in the financial statements with an effective date for all public entities for fiscal years beginning after December 15, 2023, and interim periods within fiscal years beginning after December 15, 2024. Early adoption is permitted. We will adopt this ASU in the fourth quarter of 2024 on a retrospective basis. We have currently identified the Chief Executive Officer as our CODM. We are currently evaluating the other impacts of this ASU.</w:t>
      </w:r>
    </w:p>
    <w:p>
      <w:pPr>
        <w:spacing w:after="0" w:line="1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looks to enhance the transparency and decision usefulness of income tax disclosures primarily related to the rate reconciliation and income taxes paid information. The main provisions to the rate reconciliation disclosure require public entities on an annual basis to: disclose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all public entities for annual periods beginning after December 15, 2024. Early adoption is permitted. This ASU only requires additional disclosure, will not have an impact on our results of operations or financial condition, and is not expected to have a material impact on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short-term investments and available-for-sale fixed maturity securities at June 30, 2024 and December 31, 2023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4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reviewed the available-for-sale securities at each balance sheet date to consider whether it was necessary to recognize a credit loss as of</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June 30, 2024 and December 31, 2023. We do not intend to sell the securities and it is not more likely than not that we will be required to sell the securities before recovery. Management concluded that the available-for-sale securities’ unrealized losses were due to non-credit related factors and, therefore, there was no allowance for credit loss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June 30, 2024 and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 obligations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3"/>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As of June 30, 2024 and December 31, 2023, other investments related to our private equity investments were $4.4 million. There were no realized or unrealized gains and losses or impairment losses recognized on private equity investments for the three and six months ended June 30, 2024 and 2023.</w:t>
      </w:r>
    </w:p>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realized gains or losses on short-term investments, available-for-sale fixed maturities and other investments for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short-term investments and available-for-sale fixed maturity securities by contractual maturity at June 30,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7"/>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five years through 10 years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8"/>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six months ended June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bonds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deposits and cash equivalents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credit ratings of short-term investments and available-for-sale fixed maturity securities at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3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our financial assets measured and reported at fair value as of June 30, 2024 and December 31,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196"/>
        </w:trPr>
        <w:tc>
          <w:tcPr>
            <w:tcW w:w="4700" w:type="dxa"/>
            <w:vAlign w:val="bottom"/>
          </w:tcPr>
          <w:p>
            <w:pPr>
              <w:ind w:left="460"/>
              <w:spacing w:after="0" w:line="196" w:lineRule="exact"/>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450.3</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1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June 30, 2024 and December 31, 2023, the carrying amounts and fair values of these financial instruments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280" w:type="dxa"/>
            <w:vAlign w:val="bottom"/>
          </w:tcPr>
          <w:p>
            <w:pPr>
              <w:spacing w:after="0"/>
              <w:rPr>
                <w:sz w:val="13"/>
                <w:szCs w:val="13"/>
                <w:color w:val="auto"/>
              </w:rPr>
            </w:pPr>
          </w:p>
        </w:tc>
        <w:tc>
          <w:tcPr>
            <w:tcW w:w="15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3"/>
          </w:tcPr>
          <w:p>
            <w:pPr>
              <w:jc w:val="right"/>
              <w:ind w:right="112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300.1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306.7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299.0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reconciliation of the beginning and ending reserve balances for loss and LAE, net of reinsurance: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January 1</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reserves, January 1</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incurred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incurred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paid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paid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reserves, June 30</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June 30</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Incurred losses and LAE attributable to prior accident years was a decrease of $4.6 million and $0.8 million for the six months ended June 30, 2024 and 2023, respectively. For the six months ended June 30, 2024, the development of incurred losses and LAE related to prior periods was primarily driven by lower-than-expected reported losses and LAE from accident year 2023 on both liability and physical damage coverages. For the six months ended June 30, 2023, the development of incurred losses and LAE related to prior periods was a result of lower-than-expected reported losses on injury coverages, partially offset by higher-than-expected LAE on prior accident period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reflects amounts affecting the condensed consolidated statements of operations and comprehensive loss for reinsurance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 written</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Losses and LAE incurred:</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LAE incurred</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34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2022, we entered into a $300.0 million five-year term loan, or Term Loan, with the principal amount due and payable upon maturity on January 27, 2027. Interest is payable quarterly and is determined on a floating interest rate currently calculated on the Secured Overnight Financing Rate with a 1.0% floor, plus 9.0%. The Term Loan can be repaid at anytime through the maturity date as long as we provide at least three business days of written notice and pay a prepayment premium, which expired on July 26,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carrying value of long-term debt and warrants as of June 30, 2024 and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190"/>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4"/>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56"/>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 and warrants</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effective tax rate was zero for the three and six months ended June 30, 2024 and 2023. The difference between these rates and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rate of 21% was primarily due to a full valuation allowance on our U.S. deferred tax assets.</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did not have any unrecognized tax benefits for uncertain tax positions and had no interest or penalties related to uncertain tax positions.</w:t>
      </w:r>
    </w:p>
    <w:p>
      <w:pPr>
        <w:spacing w:after="0" w:line="34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Beginning 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Employee costs</w:t>
      </w:r>
      <w:r>
        <w:rPr>
          <w:rFonts w:ascii="Times New Roman" w:cs="Times New Roman" w:eastAsia="Times New Roman" w:hAnsi="Times New Roman"/>
          <w:sz w:val="18"/>
          <w:szCs w:val="18"/>
          <w:color w:val="auto"/>
        </w:rPr>
        <w:t>—consist of severance, benefits, share-based compensation, and employee compensation expense dependent upon continuous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employees and related employee costs.</w:t>
      </w:r>
    </w:p>
    <w:p>
      <w:pPr>
        <w:spacing w:after="0" w:line="1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Real estate exit costs</w:t>
      </w:r>
      <w:r>
        <w:rPr>
          <w:rFonts w:ascii="Times New Roman" w:cs="Times New Roman" w:eastAsia="Times New Roman" w:hAnsi="Times New Roman"/>
          <w:sz w:val="18"/>
          <w:szCs w:val="18"/>
          <w:color w:val="auto"/>
        </w:rPr>
        <w:t>—consist of real estate exit costs primarily related to accelerated amortization of right-of-use assets, leasehold improvements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and fixtures.</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Other costs</w:t>
      </w:r>
      <w:r>
        <w:rPr>
          <w:rFonts w:ascii="Times New Roman" w:cs="Times New Roman" w:eastAsia="Times New Roman" w:hAnsi="Times New Roman"/>
          <w:sz w:val="18"/>
          <w:szCs w:val="18"/>
          <w:color w:val="auto"/>
        </w:rPr>
        <w:t>—primarily consist of contract termination costs incurred as part of our efforts to improve efficiency and reduce operating costs and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for software that no longer has economic benefit.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do not expect to incur any additional material expenditures in future periods related to restructuring actions that have occurred.</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displays restructuring costs recorded in general and administrative expenses on the condensed consolidated statements of operations and comprehensive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6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16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Cumulative Incurred</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Through June 30, 2024</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exit costs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costs</w:t>
            </w:r>
          </w:p>
        </w:tc>
        <w:tc>
          <w:tcPr>
            <w:tcW w:w="106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displays a rollforward of the accrual for restructuring costs recorded in accounts payable and accrued expenses on the condensed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Employee costs</w:t>
            </w:r>
          </w:p>
        </w:tc>
      </w:tr>
      <w:tr>
        <w:trPr>
          <w:trHeight w:val="37"/>
        </w:trPr>
        <w:tc>
          <w:tcPr>
            <w:tcW w:w="91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9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7"/>
        </w:trPr>
        <w:tc>
          <w:tcPr>
            <w:tcW w:w="9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activity:</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liability as of January 1,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9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incurred</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9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liability as of June 30,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3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October 2021, we issued Carvana eight tranches of warrants, comprised of three tranches of “short-term warrants” and five tranches of “long-term warrants,” with the opportunity to purchase a maximum of 7.2 million shares of Class A common stock.</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2024, all of the short-term warrants have vested and all of the respective compensation cost has been recognized. While the short-term warrants are vested and outstanding, it is not a possible outcome for the long-term warrants to also vest, so they are considered not probable of vesting. We recognized warrant compensation expense related to these equity-classified warrants based on policies originating through the integrated automobile insurance solution for Carvana’s online buying platform. All of these warrants are out-of-the-money and therefore have no intrinsic value as of June 30, 2024.</w:t>
      </w:r>
    </w:p>
    <w:p>
      <w:pPr>
        <w:spacing w:after="0" w:line="129" w:lineRule="exact"/>
        <w:rPr>
          <w:sz w:val="20"/>
          <w:szCs w:val="20"/>
          <w:color w:val="auto"/>
        </w:rPr>
      </w:pPr>
    </w:p>
    <w:p>
      <w:pPr>
        <w:jc w:val="both"/>
        <w:ind w:right="540"/>
        <w:spacing w:after="0" w:line="289" w:lineRule="auto"/>
        <w:rPr>
          <w:sz w:val="20"/>
          <w:szCs w:val="20"/>
          <w:color w:val="auto"/>
        </w:rPr>
      </w:pPr>
      <w:r>
        <w:rPr>
          <w:rFonts w:ascii="Times New Roman" w:cs="Times New Roman" w:eastAsia="Times New Roman" w:hAnsi="Times New Roman"/>
          <w:sz w:val="17"/>
          <w:szCs w:val="17"/>
          <w:color w:val="auto"/>
        </w:rPr>
        <w:t>We recognized warrant compensation expense of $1.0 million and $3.9 million for the three months ended June 30, 2024 and 2023, respectively. We recognized warrant compensation expense of $3.8 million and $8.3 million for the six months ended June 30, 2024 and 2023, respectively. Warrant compensation expense is recorded in other insurance expense in the condensed consolidated statements of operations and comprehensive loss.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Share-Based Compensation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an equity incentive plan, or the Plan, for the issuance and grant of equity awards (restricted stock, restricted stock units, or RSUs, performance-based restricted stock units, or PSUs, and incentive and nonqualified stock options) to our officers, directors, employees and certain advisors. As of June 30, 2024, we had 2.0 million common shares available for issuance under the Plan.</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these RSU and PSU awards vest, we fund the related payroll tax withholding and remittance obligations by either (i) withholding shares of our Class A common stock that would have otherwise been issued with respect to such awards and pay the relevant tax authorities in cash to satisfy such tax obligations, or (ii) allowing holders of such awards to pay us an amount in cash, via a broker, sufficient to cover the applicable tax withholding obligations. We recognize the related tax withholding liability for employee taxes on the date of the event triggering the measurement and payment of the tax to the taxing authority, which is the vesting date. The obligation to satisfy the employee portion of tax withholding in the event of net share settlement is reflected as a reduction of additional paid-in capital in our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share-based compensation expense recorded in the condensed consolidated statements of operations and comprehensive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total share-based compensation expense by type of award: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restricted stock unit expense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 option expense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30, 2024, there was $0.7 million, $19.3 million, and $1.4 million of unrecognized compensation cost related to unvested stock options, RSUs, and PSUs, respectively. The remaining costs are expected to be recognized over a period of approximately two years for unvested stock options, four years for RSUs and three years for PSUs.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PSU activity for the six months ended June 30, 2024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4"/>
          </w:tcPr>
          <w:p>
            <w:pPr>
              <w:jc w:val="center"/>
              <w:ind w:left="1137"/>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11"/>
                <w:szCs w:val="11"/>
                <w:color w:val="auto"/>
              </w:rPr>
            </w:pPr>
          </w:p>
        </w:tc>
        <w:tc>
          <w:tcPr>
            <w:tcW w:w="14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 and Performance-Based Restricted Stock Units</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4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gridSpan w:val="2"/>
            <w:vMerge w:val="continue"/>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5"/>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4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15.71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58"/>
              <w:spacing w:after="0"/>
              <w:rPr>
                <w:sz w:val="20"/>
                <w:szCs w:val="20"/>
                <w:color w:val="auto"/>
              </w:rPr>
            </w:pPr>
            <w:r>
              <w:rPr>
                <w:rFonts w:ascii="Times New Roman" w:cs="Times New Roman" w:eastAsia="Times New Roman" w:hAnsi="Times New Roman"/>
                <w:sz w:val="18"/>
                <w:szCs w:val="18"/>
                <w:color w:val="auto"/>
              </w:rPr>
              <w:t>16.92</w:t>
            </w: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4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option activity for the six months ended June 30, 2024 is as follows: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3"/>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1"/>
                <w:szCs w:val="11"/>
                <w:color w:val="auto"/>
              </w:rPr>
            </w:pPr>
          </w:p>
        </w:tc>
        <w:tc>
          <w:tcPr>
            <w:tcW w:w="1460" w:type="dxa"/>
            <w:vAlign w:val="bottom"/>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11"/>
                <w:szCs w:val="11"/>
                <w:color w:val="auto"/>
              </w:rPr>
            </w:pPr>
          </w:p>
        </w:tc>
        <w:tc>
          <w:tcPr>
            <w:tcW w:w="14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6"/>
                <w:szCs w:val="16"/>
                <w:color w:val="auto"/>
              </w:rPr>
            </w:pPr>
          </w:p>
        </w:tc>
        <w:tc>
          <w:tcPr>
            <w:tcW w:w="14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00" w:type="dxa"/>
            <w:vAlign w:val="bottom"/>
          </w:tcPr>
          <w:p>
            <w:pPr>
              <w:spacing w:after="0"/>
              <w:rPr>
                <w:sz w:val="16"/>
                <w:szCs w:val="16"/>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exercise price and term amounts)</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June 30,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6"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except as disclosed below, we do not believe that we are party to any current or pending legal action that could reasonably be expected to have a material adverse effect on our financial condition or results of operations and cash flow.</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alleged that Root Insurance Company breached its insurance contract and violated specific provisions of the Texas Prompt Payment of Claims Act for an alleged failure to include sales tax in total loss vehicle settlements. The complaint sought damages to include payment of alleged benefits owed under the policy, in addition to pre- and post-judgment interest and attorneys fees on behalf of the named plaintiff and the putative class members. Root Insurance Company’s motion to dismiss the claims set forth in the complaint was granted and the lawsuit was dismissed with prejudice on August 22, 2023, which dismissal was affirmed on July 24, 2024, by the United States Court of Appeals for the Fifth Circuit. Should plaintiff further appeal, the Company intends to continue to vigorously defend against the allegations. We cannot predict the outcome or estimate the likelihood or magnitude of our possible or potential loss contingency.</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alleged that defendants made false or misleading statements and omissions of purportedly material fact, in violation of Section 10(b) of the Securities Exchange Act of 1934, or the Exchange Act, and Rule 10b-5 thereunder, breached their fiduciary duties and/or aided and abetted the breach of fiduciary duties, were unjustly enriched, wasted corporate assets, and were liable under Section 11(f) of the Securities Act of 1933, or the Securities Act, in connection with and following the Company’s initial public offering. The complaint sought unspecified damages. The complaint was voluntarily dismissed with prejudice on June 7, 2024.</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alleged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sought unspecified damages. The defendants’ motion to dismiss the claims set forth in the complaint was granted and the lawsuit was dismissed with prejudice on March 31, 2023, which dismissal was affirmed on April 29, 2024, by the United States Court of Appeals for the Sixth Circuit. The plaintiffs have been granted an extension of time to August 28, 2024, to file a petition for a writ of certiorari with the United States Supreme Court. The Company intends to continue to vigorously defend against the allegations. We cannot predict the outcome or estimate the likelihood or magnitude of our possible or potential loss contingency.</w:t>
      </w:r>
    </w:p>
    <w:p>
      <w:pPr>
        <w:spacing w:after="0" w:line="1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computation of basic and diluted loss per share for both Class A and Class B common stock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7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 (both Class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8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and B)</w:t>
            </w: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637"/>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457"/>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5"/>
              </w:rPr>
              <w:t>14.3</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common share: basic and diluted (both Class A and B)</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spacing w:after="0" w:line="210"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33655</wp:posOffset>
            </wp:positionV>
            <wp:extent cx="20485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 w:lineRule="exact"/>
        <w:rPr>
          <w:sz w:val="20"/>
          <w:szCs w:val="20"/>
          <w:color w:val="auto"/>
        </w:rPr>
      </w:pPr>
    </w:p>
    <w:p>
      <w:pPr>
        <w:ind w:left="866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33655</wp:posOffset>
            </wp:positionV>
            <wp:extent cx="20485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shares subject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RSUs and PSUs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(as converted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0.8</w:t>
      </w:r>
    </w:p>
    <w:p>
      <w:pPr>
        <w:spacing w:after="0" w:line="63"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17145</wp:posOffset>
            </wp:positionV>
            <wp:extent cx="9944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17145</wp:posOffset>
            </wp:positionV>
            <wp:extent cx="9944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-753110</wp:posOffset>
            </wp:positionH>
            <wp:positionV relativeFrom="paragraph">
              <wp:posOffset>43180</wp:posOffset>
            </wp:positionV>
            <wp:extent cx="9944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17145</wp:posOffset>
            </wp:positionV>
            <wp:extent cx="9944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17145</wp:posOffset>
            </wp:positionV>
            <wp:extent cx="9944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43180</wp:posOffset>
            </wp:positionV>
            <wp:extent cx="994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480" w:space="720"/>
            <w:col w:w="1020" w:space="720"/>
            <w:col w:w="300"/>
          </w:cols>
          <w:pgMar w:left="320" w:top="1440" w:right="339" w:bottom="1440" w:gutter="0" w:footer="0" w:header="0"/>
          <w:type w:val="continuous"/>
        </w:sectPr>
      </w:pPr>
    </w:p>
    <w:p>
      <w:pPr>
        <w:spacing w:after="0" w:line="15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GEOGRAPHICAL BREAKDOWN OF GROSS PREMIUMS WRITTEN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premiums written by state is as follows for the three and six months ended June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r>
      <w:tr>
        <w:trPr>
          <w:trHeight w:val="23"/>
        </w:trPr>
        <w:tc>
          <w:tcPr>
            <w:tcW w:w="2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2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r>
      <w:tr>
        <w:trPr>
          <w:trHeight w:val="196"/>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Georgia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Colorado</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Carolina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Maryland</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Utah</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2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 states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38.1</w:t>
            </w:r>
          </w:p>
        </w:tc>
      </w:tr>
      <w:tr>
        <w:trPr>
          <w:trHeight w:val="248"/>
        </w:trPr>
        <w:tc>
          <w:tcPr>
            <w:tcW w:w="2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2023 filed with the Securities and Exchange Commission, or SEC, on February 21, 2024, or the 2023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2023 10-K for a discussion of important factors that could cause our actual results to differ materially from those anticipated in these forward-looking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Root is a technology insurance company revolutionizing personal insurance with a pricing model based upon fairness and a modern customer experience. We operate primarily a direct-to-consumer model in which currently we acquire the majority of our customers through mobile apps. We are also focused on expanding our partnership channel, where we acquire customers using various means, including through embedded integrations.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Root advantage is derived from our unique ability to efficiently and effectively bind auto insurance policies quickly, through direct and partnership channels, aided by segmenting individual risk based on complex behavioral data and proprietary telematics models.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scale the business, we aim to drive new customer growth by capitalizing on our two distribution channels: direct and partnership. In both channels we seek to optimize unit economics. Loss ratios for customers in their initial term are generally higher than in subsequent terms. As a young insurance company, compared to our peers, our results are disproportionately weighted toward new customers. We believe our data- and technology-driven approach allows for rapid response to macroeconomic trends through quick, appropriate rate actions. Our ability to continually enhance our underwriting and segmentation capabilities has contributed to improvement in our gross loss ratios. Our marketing spend is grounded in a disciplined data-science approach, targeting customers that align with our lifetime expected returns. Over time we expect to build a base of recurring customers with more favorable loss ratios, resulting in the following financial impacts:</w:t>
      </w:r>
    </w:p>
    <w:p>
      <w:pPr>
        <w:spacing w:after="0" w:line="131" w:lineRule="exact"/>
        <w:rPr>
          <w:sz w:val="20"/>
          <w:szCs w:val="20"/>
          <w:color w:val="auto"/>
        </w:rPr>
      </w:pPr>
    </w:p>
    <w:p>
      <w:pPr>
        <w:ind w:left="660" w:right="280" w:hanging="328"/>
        <w:spacing w:after="0" w:line="25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Improved loss ratio</w:t>
      </w:r>
      <w:r>
        <w:rPr>
          <w:rFonts w:ascii="Times New Roman" w:cs="Times New Roman" w:eastAsia="Times New Roman" w:hAnsi="Times New Roman"/>
          <w:sz w:val="18"/>
          <w:szCs w:val="18"/>
          <w:color w:val="auto"/>
        </w:rPr>
        <w:t>. Through improvements in our pricing, underwriting and segmentation we have seen improvement to our gross loss ratios.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Renewal premiums, referring to premiums from a customer’s second term and beyond, generally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utilize our data- and technology-driven approach to implement appropriate rate actions.</w:t>
      </w:r>
    </w:p>
    <w:p>
      <w:pPr>
        <w:spacing w:after="0" w:line="125"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marketing as a percentage of premium. </w:t>
      </w:r>
      <w:r>
        <w:rPr>
          <w:rFonts w:ascii="Times New Roman" w:cs="Times New Roman" w:eastAsia="Times New Roman" w:hAnsi="Times New Roman"/>
          <w:sz w:val="18"/>
          <w:szCs w:val="18"/>
          <w:color w:val="auto"/>
        </w:rPr>
        <w:t>Certain recurring customer premiums have no associated customer acquisition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underwriting costs, driving profitability. As we grow our business, we anticipate, consistent with industry norms, that a greater proportion of our premiums will be from customer renewals with lower associated acquisition costs.</w:t>
      </w:r>
    </w:p>
    <w:p>
      <w:pPr>
        <w:spacing w:after="0" w:line="116" w:lineRule="exact"/>
        <w:rPr>
          <w:rFonts w:ascii="Times New Roman" w:cs="Times New Roman" w:eastAsia="Times New Roman" w:hAnsi="Times New Roman"/>
          <w:sz w:val="18"/>
          <w:szCs w:val="18"/>
          <w:color w:val="auto"/>
        </w:rPr>
      </w:pPr>
    </w:p>
    <w:p>
      <w:pPr>
        <w:ind w:left="660" w:right="30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revenue per customer. </w:t>
      </w:r>
      <w:r>
        <w:rPr>
          <w:rFonts w:ascii="Times New Roman" w:cs="Times New Roman" w:eastAsia="Times New Roman" w:hAnsi="Times New Roman"/>
          <w:sz w:val="18"/>
          <w:szCs w:val="18"/>
          <w:color w:val="auto"/>
        </w:rPr>
        <w:t>Over time we expect to refine our fee schedules to be more consistent with industry norms. This, paired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marketing, strengthened underwriting and pricing segmentation, will facilitate the opportunity to generate additional fee revenue per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technology to drive efficiency across all functions, including distribution, underwriting, policy administration and claims in particular. We continue to develop machine learning loss models, which allow us to respond more quickly to changes in the market, improve pricing segmentation and take appropriate and timely rate actions. We believe this allows us to operate with a cost to acquire and cost to serve advantage. We efficiently acquire customers through multiple channels, including direct digital (performance), channel media, referrals, and partnership, including embedded, agency and affinity. Our evolving acquisition strategy includes utilizing our embedded insurance offering with current and future strategic partners. Our marketing costs have historically been well below industry averages, although in any given period, these costs can vary by acquisition strategy, channel mix, by state, seasonality or due to the competitive environment. Today, we acquire the vast majority of our customers through mobile apps. We believe that through prudent investment in and diversification of our marketing channels, including leveraging proprietary data science and technology and a focus on partnerships with our current and future strategic partners, will position us for more sustainable, long-term and profitable growth.</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These reinsurance structures deliver three core objectives: (1) prioritize revenue and targeted profitable customer growth while maintaining regulatory capital requirements; (2) source efficient capital to support customer acquisition costs; and (3) mitigate impact of large losses or tail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expect to continuously evaluate our utilization of third-party reinsurance while scaling our business in order to operate a capital-efficient business model. As our gross loss ratios continue to improve and stabilize over the long-term, we expect to maintain the flexibility to modify our reinsurance program.</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Given the impact reinsurance has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may not be achievable under our regulatory landscape given our historical top-line growth and resulting capital requirements, which are relieved, in part, by obtaining reinsurance.</w:t>
      </w:r>
    </w:p>
    <w:p>
      <w:pPr>
        <w:spacing w:after="0" w:line="126"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“—Key Performance Indicators” and for reconciliations of Direct Contribution and adjusted EBITDA to the most directly comparable generally accepted accounting principles in the United States, or GAAP, metric, see “—Non-GAAP Financial Measures.”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Macroeconomic Factors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Economic instability has led to acute inflationary pressures, supply chain disruptions, changes in interest rates and changes in equity markets. There is a risk of inflation remaining elevated for an extended period, which could cause claims and claim expenses to increase, impact the performance of our investment portfolio or have other adverse effects, including variability in the competitive environment. We have seen an increase in vehicle repair and medical costs.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Reinsurance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reduced the utilization of reinsurance through a strategic reduction of external quota share. The changes to the reinsurance program aim to deliver improved economics and capital efficiency.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“—Non-GAAP Financial Measures” for additional information regarding our use of direct contribution and adjusted EBITDA and their reconciliations to the most directly comparable GAAP measures.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(dollars in millions, except premiums per policy)</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Policies in force</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406,283</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203,840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406,283</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203,840</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per policy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1,522</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1,353</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in force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1,236.7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1,236.7</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551.6</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638.9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279.7</w:t>
            </w:r>
          </w:p>
        </w:tc>
      </w:tr>
      <w:tr>
        <w:trPr>
          <w:trHeight w:val="27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583.0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261.6</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134.7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(77.6)</w:t>
            </w:r>
          </w:p>
        </w:tc>
      </w:tr>
      <w:tr>
        <w:trPr>
          <w:trHeight w:val="26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contribution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167.7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47.9</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(23.2)</w:t>
            </w: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ratio</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99.1 %</w:t>
            </w: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expense ratio</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r>
      <w:tr>
        <w:trPr>
          <w:trHeight w:val="25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combined ratio</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155.7 %</w:t>
            </w:r>
          </w:p>
        </w:tc>
      </w:tr>
      <w:tr>
        <w:trPr>
          <w:trHeight w:val="25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ratio</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LAE ratio</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expense ratio</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combined ratio</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120.5 %</w:t>
            </w:r>
          </w:p>
        </w:tc>
      </w:tr>
      <w:tr>
        <w:trPr>
          <w:trHeight w:val="26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accident period loss ratio</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in Force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per Policy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in Force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Earned</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define gross profit as total revenue minus net loss and LAE and other insurance expense. We view gross profit as an important metric because we believe it is informative of the financial performance of our core insurance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define direct contribution, a non-GAAP financial measure, as gross profit excluding net investment income, report costs, commission expenses related to our partnership channel,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total revenue to direct contribution.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define adjusted EBITDA, a non-GAAP financial measure, as net loss excluding interest expense, income tax expense, depreciation and amortization, share-based compensation,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net loss to adjusted EBITDA.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LAE Ratio</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Expense Ratio</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Combined Ratio</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Loss Ratio</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LAE Ratio</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define gross LAE ratio expressed as a percentage, as the ratio of gross LAE to gross premiums earned. We view gross LAE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Expense Ratio</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Combined Ratio</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Accident Period Loss Ratio</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revenue from net premiums earned, net investment income, fee income and other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Premiums written are deferred and earned pro rata over the policy period. Net premiums earned represents the earned portion of our gross premiums written, less the earned portion that is ceded to third-party reinsurers under our reinsurance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investment income represents interest earned from our cash and cash equivalents and fixed maturity and short-term investments less investment expenses. Net investment income also includes impairments related to Low Income Housing Tax Credits investments in limited liability entities to offset certain state premium taxes. These tax credits are recognized when utilized. Net investment income is directly correlated with the overall size of our investment portfolio, market level of interest rates and changes in the fair value of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1500"/>
        <w:spacing w:after="0" w:line="438" w:lineRule="auto"/>
        <w:rPr>
          <w:sz w:val="20"/>
          <w:szCs w:val="20"/>
          <w:color w:val="auto"/>
        </w:rPr>
      </w:pPr>
      <w:r>
        <w:rPr>
          <w:rFonts w:ascii="Times New Roman" w:cs="Times New Roman" w:eastAsia="Times New Roman" w:hAnsi="Times New Roman"/>
          <w:sz w:val="18"/>
          <w:szCs w:val="18"/>
          <w:color w:val="auto"/>
        </w:rPr>
        <w:t xml:space="preserve">Net investment income will vary with the size and composition of our investment portfolio, market returns and the investment strategy. </w:t>
      </w:r>
      <w:r>
        <w:rPr>
          <w:rFonts w:ascii="Times New Roman" w:cs="Times New Roman" w:eastAsia="Times New Roman" w:hAnsi="Times New Roman"/>
          <w:sz w:val="18"/>
          <w:szCs w:val="18"/>
          <w:b w:val="1"/>
          <w:bCs w:val="1"/>
          <w:color w:val="auto"/>
        </w:rPr>
        <w:t>Fee Income</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income is primarily comprised of revenue earned from distributing website and mobile application policy inquiry leads in geographies where we do not have a presence, recognized when we generate the lead.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loss and LAE, sales and marketing, other insurance expense, technology and development, and general and administrative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Various other expenses incurred during claims processing are considered LAE. These amounts include Personnel Costs for claims-related employees; vendor expenses; software expense; internally developed software amortization; and Overhead.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includes expenses related to direct performance marketing, channel media, advertising, sponsorship, referral fees and the partnership channel. These expenses also include related Personnel Costs and Overhead related to our brand strategy, creative and business development activities, and certain data science activities. We incur sales and marketing expenses for all product offerings. Sales and marketing are expensed as incurred.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continue investing in and diversifying our marketing channels to attract and acquire new customers, increase our brand awareness, and expand our product offerings within certain markets. We expect that in the long-term, our sales and marketing will decrease as a percentage of revenue as the proportion of renewals to our total business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insurance expense includes underwriting expenses, commission expenses related to our partnership channel, premium taxes, credit card and policy processing expenses, premium write-offs, insurance license expenses, certain warrant compensation expense related to policies originating through the integrated automobile insurance solution for Carvana’s online buying platform, and Personnel Costs and Overhead related to actuarial and certain data science activities. We amortize a portion of our deferred policy acquisition costs including certain commissions related to our partnership channel, premium taxes, and report costs related to the successful acquisition of a policy. Other insurance expense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spacing w:after="0" w:line="13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are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premiums earned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income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revenues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Loss and loss adjustment expenses</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insurance expense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336.8 %</w:t>
            </w:r>
          </w:p>
        </w:tc>
      </w:tr>
      <w:tr>
        <w:trPr>
          <w:trHeight w:val="243"/>
        </w:trPr>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286.6 %</w:t>
            </w:r>
          </w:p>
        </w:tc>
      </w:tr>
      <w:tr>
        <w:trPr>
          <w:trHeight w:val="567"/>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185.4 %</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r>
      <w:tr>
        <w:trPr>
          <w:trHeight w:val="270"/>
        </w:trPr>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0"/>
        </w:trPr>
        <w:tc>
          <w:tcPr>
            <w:tcW w:w="42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-2588260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-2245360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-1894205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-1551305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-1208405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-865505</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-505460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-153670</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70"/>
        </w:trPr>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in net unrealized losses on investments</w:t>
            </w:r>
          </w:p>
        </w:tc>
        <w:tc>
          <w:tcPr>
            <w:tcW w:w="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premiums earned increased $197.7 million, or 309.4%, to $261.6 million for the three months ended June 30, 2024 compared to the same period in 2023. The increase was primarily due to reduced cessions of gross premiums earned to reinsurers between periods. The increase was also due to an increase in policies in force as a result of increased direct performance marketing spend and greater premium per policy resulting from rate actions.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we ceded approximately 15.1% and 51.4% of our gross premiums earned, respectively. The change in cessions between periods was primarily driven by a strategic reduction of quota share reinsurance and commutations of certain reinsurance agreements as previously discussed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three months ended June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6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112.6 %</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238.8 %</w:t>
            </w:r>
          </w:p>
        </w:tc>
      </w:tr>
      <w:tr>
        <w:trPr>
          <w:trHeight w:val="216"/>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134.2 %</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309.4 %</w:t>
            </w:r>
          </w:p>
        </w:tc>
      </w:tr>
      <w:tr>
        <w:trPr>
          <w:trHeight w:val="27"/>
        </w:trPr>
        <w:tc>
          <w:tcPr>
            <w:tcW w:w="6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Gross premiums written increased for the three months ended June 30, 2024 primarily due to growth in new writings as a result of increased direct performance marketing spend compared to the same period in 2023.The increase in gross premiums earned was primarily due to greater policies in force and a 12.5% increase in premium per policy primarily attributable to rate 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Fee income increased $12.8 million, or 336.8%, to $16.6 million for the three months ended June 30, 2024 compared to the same period in 2023. The increase was primarily driven by a $7.2 million increase in policy fees due to implementation of new fees as a result of refining our fee schedules to policyholders and increased policies in force. We also experienced a $4.9 million increase in installment fees attributable to an increase in collected fees, as a result of increased gross written premium.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Loss and LAE increased $130.8 million, or 219.8%, to $190.3 million for the three months ended June 30, 2024 compared to the same period in 2023. The increase was primarily due to additional losses incurred on increased gross premiums earned volume and reduced cessions of losses to reinsurers for the three months ended June 30, 2024 compared to the same period in 2023.</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Gross accident period loss ratios decreased to 62.4% for the three months ended June 30, 2024, from 64.8% for the same period in 2023. The change in the ratios was driven by growth in average premium per policy primarily attributable to rate actions. This was partially offset by business tenure mix and higher loss costs as a result of increased severity per claim due to higher vehicle repair and medical costs. We estimated a 6% increase in severity per claim and a 1% increase in claim frequency for the three months ended June 30, 2024 compared to the same period in 2023 across our bodily injury, collision, and property damage coverages. The claim frequency estimates are tenure mix adjusted.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$28.1 million, or 460.7%, to $34.2 million for the three months ended June 30, 2024 compared to the same period in 2023. The increase was due to a $25.0 million increase in direct performance marketing spend to drive accretive growth and deeper market penetration in the states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Other insurance expense increased $25.5 million, or 980.8%, to $28.1 million for the three months ended June 30, 2024 compared to the same period in 2023. The increase was primarily driven by an $8.4 million decrease in net ceding commission contra-expense as a result of a decline in ceded premiums written, largely attributable to a strategic reduction of quota share reinsurance in the second half of 2023. We also experienced a $5.7 million increase in premium write-offs and a $3.6 million increase in premium taxes primarily attributable to an increase in gross premiums earned. In addition, we experienced a $3.2 million increase in commission expenses related to the continued growth in our partnership channel including amortization of deferred policy acquisition costs. We also experienced a $2.0 million increase in report costs due to an increase in customer applications and new writings growth and a $1.8 million increase in policy processing fees. This was partially offset by a $2.8 million decrease in Carvana warrant expense. All short-term warrant expense has been recognized, as a result of all short-term warrants fully vesting.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297.0 %</w:t>
            </w: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income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347.1 %</w:t>
            </w:r>
          </w:p>
        </w:tc>
      </w:tr>
      <w:tr>
        <w:trPr>
          <w:trHeight w:val="270"/>
        </w:trPr>
        <w:tc>
          <w:tcPr>
            <w:tcW w:w="6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240.0 %</w:t>
            </w:r>
          </w:p>
        </w:tc>
      </w:tr>
      <w:tr>
        <w:trPr>
          <w:trHeight w:val="237"/>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275.5 %</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190.5 %</w:t>
            </w: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566.0 %</w:t>
            </w:r>
          </w:p>
        </w:tc>
      </w:tr>
      <w:tr>
        <w:trPr>
          <w:trHeight w:val="27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1,251.3 %</w:t>
            </w: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70"/>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6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167.6 %</w:t>
            </w:r>
          </w:p>
        </w:tc>
      </w:tr>
      <w:tr>
        <w:trPr>
          <w:trHeight w:val="26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116.7 %</w:t>
            </w:r>
          </w:p>
        </w:tc>
      </w:tr>
      <w:tr>
        <w:trPr>
          <w:trHeight w:val="27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70"/>
        </w:trPr>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in net unrealized losses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800.0 %</w:t>
            </w: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premiums earned increased $368.0 million, or 297.0%, to $491.9 million for the six months ended June 30, 2024 compared to the same period in 2023. The increase was primarily due to reduced cessions of gross premiums earned to reinsurers between periods. The increase was also due to an increase in policies in force as a result of increased direct performance marketing spend and greater premium per policy resulting from rate actions.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14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we ceded approximately 15.6% and 52.6% of our gross premiums earned, respectively. The change in cessions between periods was primarily driven by a strategic reduction of quota share reinsurance and commutations of certain reinsurance agreements as previously discussed in the second half of 2023.</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six months ended June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279.7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6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142.6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284.0 %</w:t>
            </w:r>
          </w:p>
        </w:tc>
      </w:tr>
      <w:tr>
        <w:trPr>
          <w:trHeight w:val="216"/>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122.9 %</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123.9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297.0 %</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Gross premiums written increased for the six months ended June 30, 2024 primarily due to growth in new writings as a result of increased direct performance marketing spend compared to the same period in 2023. The increase in gross premiums earned was primarily due to greater policies in force and a 12.5% increase in premium per policy primarily attributable to rate 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$5.7 million, or 42.2%, to $19.2 million for the six months ended June 30, 2024 compared to the same period in 2023. The increase was primarily driven by a larger investment portfolio and higher interest and dividends received attributable to investing more in higher yielding investments, as a result of the favorable interest rate environment.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Fee income increased $24.3 million, or 347.1%, to $31.3 million for the six months ended June 30, 2024 compared to the same period in 2023. The increase was primarily driven by a $13.3 million increase in policy fees due to implementation of new fees as a result of refining our fee schedules to policyholders and increased policies in force. We also experienced a $9.7 million increase in installment fees attributable to an increase in collected fees, as a result of increased gross written premium.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Loss and LAE increased $233.9 million, or 190.5%, to $356.7 million for the six months ended June 30, 2024 compared to the same period in 2023. The increase was primarily due to additional losses incurred on increased gross premiums earned volume and reduced cessions of losses to reinsurers for the six months ended June 30, 2024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Gross accident period loss ratios decreased to 61.4% for the six months ended June 30, 2024, from 65.6% for the same period in 2023. The change in the ratios was driven by growth in average premium per policy primarily attributable to rate actions. This was partially offset by business tenure mix and higher loss costs as a result of increased severity per claim due to higher vehicle repair and medical costs. We estimated a 7% increase in severity per claim and a 1% decrease in claim frequency for the six months ended June 30, 2024 compared to the same period in 2023 across our bodily injury, collision, and property damage coverages. The claim frequency estimates are tenure mix adjusted.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$54.9 million, or 566.0%, to $64.6 million for the six months ended June 30, 2024 compared to the same period in 2023. The increase was due to a $51.8 million increase in direct performance marketing spend to drive accretive growth and deeper market penetration in the states in which we operate.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insurance expense increased $48.8 million, or 1,251.3%, to $52.7 million for the six months ended June 30, 2024 compared to the same period in 2023. The increase was primarily driven by a $15.4 million decrease in net ceding commission contra-expense as a result of a decline in ceded premiums written, largely attributable to a strategic reduction of quota share reinsurance in the second half of 2023. We also experienced an $8.9 million increase in premium write-offs and an $8.2 million increase in report costs due to an increase in customer applications and new writings growth. In addition, we experienced a $7.1 million increase in commission expenses related to the continued growth in our partnership channel including amortization of deferred policy acquisition costs. We also experienced a $6.4 million increase in premium taxes primarily attributable to an increase in gross premiums earned and a $3.4 million increase in policy processing fees. This was partially offset by a $4.4 million decrease in Carvana warrant expense. All short-term warrant expense has been recognized, as a result of all short-term warrants fully vesting.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Technology and development increased $4.4 million, or 20.7%, to $25.7 million for the six months ended June 30, 2024 compared to the same period in 2023. The increase was primarily driven by a $2.0 million increase in accelerated amortization of internally developed software and a $1.8 million increase in software development expense as we continue to invest in developing and improving our technology platforms and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General and administrative decreased $7.0 million, or 16.6%, to $35.2 million for the six months ended June 30, 2024 compared to the same period in 2023. The decrease was primarily driven by a $6.9 million decrease in legal and professional fees.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definition of direct contribution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total revenue to direct contribution for the three and six months ended June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insurance expense</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from other insurance expense</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ceding commission and other</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6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contribution</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60" w:hanging="332"/>
        <w:spacing w:after="0" w:line="294" w:lineRule="auto"/>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other insurance expense includes report costs, commission expenses related to our partnership channel, certain warrant compensation expense related to policies originating through the integrated automobile insurance solution for Carvana’s online buying platform, Personnel Costs, Overhead, licenses, professional fees and other</w:t>
      </w:r>
      <w:r>
        <w:rPr>
          <w:rFonts w:ascii="Times New Roman" w:cs="Times New Roman" w:eastAsia="Times New Roman" w:hAnsi="Times New Roman"/>
          <w:sz w:val="17"/>
          <w:szCs w:val="17"/>
          <w:color w:val="auto"/>
        </w:rPr>
        <w:t>.</w:t>
      </w:r>
    </w:p>
    <w:p>
      <w:pPr>
        <w:spacing w:after="0" w:line="35" w:lineRule="exact"/>
        <w:rPr>
          <w:rFonts w:ascii="Times New Roman" w:cs="Times New Roman" w:eastAsia="Times New Roman" w:hAnsi="Times New Roman"/>
          <w:sz w:val="14"/>
          <w:szCs w:val="14"/>
          <w:color w:val="auto"/>
        </w:rPr>
      </w:pPr>
    </w:p>
    <w:p>
      <w:pPr>
        <w:ind w:left="340" w:right="120" w:hanging="332"/>
        <w:spacing w:after="0" w:line="310" w:lineRule="auto"/>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ceding commission and other is comprised of ceding commissions received in connection with reinsurance ceded, partially offset by amortization of excess ceding commission and other impacts of reinsurance ceded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definition of adjusted EBITDA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loss to adjusted EBITDA for the three and six months ended June 30,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4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3"/>
                <w:szCs w:val="2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10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and other</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67" w:lineRule="exact"/>
        <w:rPr>
          <w:sz w:val="20"/>
          <w:szCs w:val="20"/>
          <w:color w:val="auto"/>
        </w:rPr>
      </w:pPr>
    </w:p>
    <w:p>
      <w:pPr>
        <w:ind w:left="340" w:right="40" w:hanging="332"/>
        <w:spacing w:after="0" w:line="271" w:lineRule="auto"/>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consist of employee costs, real estate exit costs, and other. This includes share-based compensation of zero for the three and six months ended June 30, 2024, and zero and $0.4 million for the three and six months ended June 30, 2023, respectively. This also includes depreciation and amortization of $0.1 million and $0.2 million for the three and six months ended June 30, 2024 and 2023, respectively. For further information on restructuring costs, see Note 9, “Restructuring Costs,” in the Notes to Condensed Consolidated Financial Statements.</w:t>
      </w:r>
    </w:p>
    <w:p>
      <w:pPr>
        <w:spacing w:after="0" w:line="129" w:lineRule="exact"/>
        <w:rPr>
          <w:rFonts w:ascii="Times New Roman" w:cs="Times New Roman" w:eastAsia="Times New Roman" w:hAnsi="Times New Roman"/>
          <w:sz w:val="14"/>
          <w:szCs w:val="14"/>
          <w:color w:val="auto"/>
        </w:rPr>
      </w:pPr>
    </w:p>
    <w:p>
      <w:pPr>
        <w:ind w:left="340" w:right="20" w:hanging="332"/>
        <w:spacing w:after="0" w:line="281" w:lineRule="auto"/>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Write-offs and other primarily reflects legal costs and other items that do not reflect our ongoing operating performance. Legal and other fees related to the 2022 purported misappropriation of funds by a former senior marketing employee of $0.4 million and $0.5 million for the three and six months ended June 30, 2024, respectively, and $0.4 million and $2.4 million for the three and six months ended June 30, 2023,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and reducing our cost of capital. We expect, from time to time, to engage in a variety of financing transactions for such purposes, including the issuance of stock and debt.</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events may impact our liquidity such as the economic instability resulting in acute inflationary pressures, supply chain disruptions, changes in interest rates, changes in equity markets and our utilization of reinsurance. There is a risk of inflation remaining elevated for an extended period, which could cause claims and claim expenses to increase, impact the performance of our investment portfolio or have other adverse effects.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organized as a holding company, but our primary operations are conducted by two of our wholly-owned insurance subsidiaries, Root Insurance Company and Root Property &amp; Casualty Insurance Company, both Ohio-domiciled insurance companies. The payment of dividends by our insurance subsidiaries is subject to restrictions set forth in the insurance laws and regulations of the State of Ohio. To date, our insurance subsidiaries have not paid any dividends and, as of June 30, 2024, they were not permitted to pay any dividends without approval of the applicable superintendent, commissioner and/or director.</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June 30, 2024, our insurance subsidiaries maintained a risk-based capital level that is in excess of an amount that would require any corrective actions on our part.</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wholly-owned, Cayman Islands-based reinsurance subsidiary, Root Reinsurance Company, Ltd., or Root Re, maintains a Class B(iii) insurer license under Cayman Islands Monetary Authority, or CIMA. At June 30, 2024, Root Re was subject to compliance with certain capital levels and a net premiums earned to capital ratio of 15:1, which we maintained as of June 30, 2024.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26, 2022, we closed on a $300.0 million five-year term loan, or Term Loan. The maturity of the Term Loan is January 27, 2027. Interest is payable quarterly and is determined on a floating interest rate calculated on the Secured Overnight Financing Rate with a 1.0% floor, plus 9.0%. The Term Loan can be repaid at anytime through the maturity date as long as we provide at least three business days of written notice and pay a prepayment premium, which expired on July 26,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2024, we had $667.2 million in cash and cash equivalents, of which $447.4 million was held outside of regulated insurance entities. We also had $235.5 million in marketable securities.</w:t>
      </w:r>
    </w:p>
    <w:p>
      <w:pPr>
        <w:spacing w:after="0" w:line="10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Tax withholding obligations arise upon vesting of shares of RSUs and PSUs,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cash payments due for taxes upon the vesting of such equity compensation awards is dependent on the price of our Class A common stock on the applicable vesting dates and could be substantial. Future obligations could have a negative impact on our liquidity and ability to use funds for operational purposes. During the second quarter of 2024, we paid $10.8 million in tax withholding obligations arising from the vesting of shares of RSUs and PSUs.</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illustrative purposes, assuming a stock price of $51.48 per share (the closing price of our shares of Class A common stock on the The Nasdaq Stock Market on July 1, 2024), we estimate that our tax withholding obligations on account of remaining vesting events for each of the subsequent three quarters through the first quarter of 2025 of approximately $2.1 million and approximately $5.0 million for the second quarter 2025.</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debt covenants required cash and cash equivalents held in entities other than our insurance subsidiaries to be at least $150.0 million. We must continue to satisfy the direct contribution to gross premiums earned ratio requirement of greater than 12% at the end of each fiscal quarter in order to maintain the threshold of $150.0 million. If we do not satisfy these requirements, the threshold will return to $200.0 million.</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Through prudent deployment of capital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2"/>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77.1</w:t>
            </w:r>
          </w:p>
        </w:tc>
        <w:tc>
          <w:tcPr>
            <w:tcW w:w="10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(74.3)</w:t>
            </w:r>
          </w:p>
        </w:tc>
        <w:tc>
          <w:tcPr>
            <w:tcW w:w="10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$77.1 million compared to $94.3 million of net cash used in operating activities for the six months ended June 30, 2023. The increase in cash provided by operating activities was due to an increase in the loss and LAE reserves for the six months ended June 30, 2024 reflecting the growth in policies in force, a material reduction in net loss between the periods, growth in premiums not yet earned and timing of reinsurance payments. This was partially offset by timing of reinsurance receipts and claims receipts during the six months ended June 30, 2024 compared to the same period in 2023.</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$74.3 million compared to $39.2 million of net cash used in investing activities for the six months ended June 30, 2023. The increase in cash used in investing activities was primarily due to purchases of investments which was partially offset by proceeds from maturities, call and pay downs of investments.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was $14.3 million compared to $0.6 million of net cash used in financing activity for the six months ended June 30, 2023. The increase in cash used in financing activities was primarily due to tax withholding obligations arising from the vesting of shares of RSUs and PSUs during the six months ended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from Contractual and Other Obligations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and other obligations from those described in our 2023 10-K. We believe we have sufficient resources, and access to additional debt and equity capital, to adequately meet our obligations as they 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allowance for expected credit losses on premium receivables and reinsurance recoverables.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 — Critical Accounting Estimates,” in our 2023 10-K and the Notes to Condensed Consolidated Financial Statements appearing elsewhere in this Quarterly Report on Form 10-Q. During the six months ended June 30, 2024, there were no material changes to our critical accounting estimates from those discussed in our 2023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quantitative and qualitative market risk disclosures included in the 2023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the 2023 10-K. In addition to the other information set forth in this Quarterly Report on Form 10-Q, you should carefully consider the risk factors discussed in Part I, Item 1A. “Risk Factors,” in the 2023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Repurchase and Working Capital Restrictions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payment of any extraordinary dividend by one of our regulated insurance subsidiaries requires the prior approval of the superintendent of the supervisory Department of Insurance, or DOI. “Extraordinary dividend” is defined under the Ohio Revised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2023, neither Root Insurance Company nor Root Property &amp; Casualty Insurance Company were permitted to pay any dividends to us without approval of the superintendent of the supervisory DOI. See the section titled “Risk Factors — Risks Related to Our Business — Failure to maintain our risk-based capital at the required levels could adversely affect our ability to maintain regulatory authority to conduct our business,” included in the 2023 10-K.</w:t>
      </w:r>
    </w:p>
    <w:p>
      <w:pPr>
        <w:spacing w:after="0" w:line="1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Further, our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6" w:name="page47"/>
    <w:bookmarkEnd w:id="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7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860" w:type="dxa"/>
            <w:vAlign w:val="bottom"/>
            <w:gridSpan w:val="2"/>
            <w:vMerge w:val="restart"/>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860" w:type="dxa"/>
            <w:vAlign w:val="bottom"/>
            <w:gridSpan w:val="2"/>
            <w:vMerge w:val="continue"/>
          </w:tcPr>
          <w:p>
            <w:pPr>
              <w:spacing w:after="0"/>
              <w:rPr>
                <w:sz w:val="13"/>
                <w:szCs w:val="13"/>
                <w:color w:val="auto"/>
              </w:rPr>
            </w:pPr>
          </w:p>
        </w:tc>
        <w:tc>
          <w:tcPr>
            <w:tcW w:w="3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60" w:type="dxa"/>
            <w:vAlign w:val="bottom"/>
            <w:gridSpan w:val="2"/>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SEC File Number</w:t>
            </w: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3860" w:type="dxa"/>
            <w:vAlign w:val="bottom"/>
            <w:gridSpan w:val="25"/>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Amended and Restated Certificate of Incorporation of</w:t>
              </w:r>
            </w:hyperlink>
          </w:p>
        </w:tc>
      </w:tr>
      <w:tr>
        <w:trPr>
          <w:trHeight w:val="142"/>
        </w:trPr>
        <w:tc>
          <w:tcPr>
            <w:tcW w:w="1120" w:type="dxa"/>
            <w:vAlign w:val="bottom"/>
          </w:tcPr>
          <w:p>
            <w:pPr>
              <w:spacing w:after="0"/>
              <w:rPr>
                <w:sz w:val="12"/>
                <w:szCs w:val="12"/>
                <w:color w:val="auto"/>
              </w:rPr>
            </w:pPr>
          </w:p>
        </w:tc>
        <w:tc>
          <w:tcPr>
            <w:tcW w:w="6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7"/>
              </w:rPr>
            </w:pPr>
            <w:hyperlink r:id="rId86">
              <w:r>
                <w:rPr>
                  <w:rFonts w:ascii="Times New Roman" w:cs="Times New Roman" w:eastAsia="Times New Roman" w:hAnsi="Times New Roman"/>
                  <w:sz w:val="16"/>
                  <w:szCs w:val="16"/>
                  <w:color w:val="0000FF"/>
                  <w:w w:val="97"/>
                </w:rPr>
                <w:t>Root, Inc.</w:t>
              </w:r>
            </w:hyperlink>
          </w:p>
        </w:tc>
        <w:tc>
          <w:tcPr>
            <w:tcW w:w="286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860" w:type="dxa"/>
            <w:vAlign w:val="bottom"/>
            <w:gridSpan w:val="25"/>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Certificate of Amendment to Amended and Restated</w:t>
              </w:r>
            </w:hyperlink>
          </w:p>
        </w:tc>
      </w:tr>
      <w:tr>
        <w:trPr>
          <w:trHeight w:val="142"/>
        </w:trPr>
        <w:tc>
          <w:tcPr>
            <w:tcW w:w="11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Certificate of Incorporation of Root, Inc.</w:t>
              </w:r>
            </w:hyperlink>
          </w:p>
        </w:tc>
        <w:tc>
          <w:tcPr>
            <w:tcW w:w="760" w:type="dxa"/>
            <w:vAlign w:val="bottom"/>
            <w:tcBorders>
              <w:top w:val="single" w:sz="8" w:color="0000FF"/>
            </w:tcBorders>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28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Amended and Restated Bylaws of Root, Inc.</w:t>
              </w:r>
            </w:hyperlink>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36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Certificate of Designations of Series A Preferred Stock,</w:t>
              </w:r>
            </w:hyperlink>
          </w:p>
        </w:tc>
        <w:tc>
          <w:tcPr>
            <w:tcW w:w="240" w:type="dxa"/>
            <w:vAlign w:val="bottom"/>
            <w:gridSpan w:val="7"/>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860" w:type="dxa"/>
            <w:vAlign w:val="bottom"/>
            <w:gridSpan w:val="25"/>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filed with the Delaware Secretary of State on October 1,</w:t>
              </w:r>
            </w:hyperlink>
          </w:p>
        </w:tc>
      </w:tr>
      <w:tr>
        <w:trPr>
          <w:trHeight w:val="142"/>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89">
              <w:r>
                <w:rPr>
                  <w:rFonts w:ascii="Times New Roman" w:cs="Times New Roman" w:eastAsia="Times New Roman" w:hAnsi="Times New Roman"/>
                  <w:sz w:val="16"/>
                  <w:szCs w:val="16"/>
                  <w:color w:val="0000FF"/>
                  <w:w w:val="93"/>
                </w:rPr>
                <w:t>2021</w:t>
              </w:r>
            </w:hyperlink>
          </w:p>
        </w:tc>
        <w:tc>
          <w:tcPr>
            <w:tcW w:w="3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3860" w:type="dxa"/>
            <w:vAlign w:val="bottom"/>
            <w:gridSpan w:val="25"/>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Form of Class A common stock certificate of the</w:t>
              </w:r>
            </w:hyperlink>
          </w:p>
        </w:tc>
      </w:tr>
      <w:tr>
        <w:trPr>
          <w:trHeight w:val="142"/>
        </w:trPr>
        <w:tc>
          <w:tcPr>
            <w:tcW w:w="1120" w:type="dxa"/>
            <w:vAlign w:val="bottom"/>
          </w:tcPr>
          <w:p>
            <w:pPr>
              <w:spacing w:after="0"/>
              <w:rPr>
                <w:sz w:val="12"/>
                <w:szCs w:val="12"/>
                <w:color w:val="auto"/>
              </w:rPr>
            </w:pPr>
          </w:p>
        </w:tc>
        <w:tc>
          <w:tcPr>
            <w:tcW w:w="7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7"/>
              </w:rPr>
            </w:pPr>
            <w:hyperlink r:id="rId90">
              <w:r>
                <w:rPr>
                  <w:rFonts w:ascii="Times New Roman" w:cs="Times New Roman" w:eastAsia="Times New Roman" w:hAnsi="Times New Roman"/>
                  <w:sz w:val="16"/>
                  <w:szCs w:val="16"/>
                  <w:color w:val="0000FF"/>
                  <w:w w:val="97"/>
                </w:rPr>
                <w:t>Registrant.</w:t>
              </w:r>
            </w:hyperlink>
          </w:p>
        </w:tc>
        <w:tc>
          <w:tcPr>
            <w:tcW w:w="2460" w:type="dxa"/>
            <w:vAlign w:val="bottom"/>
            <w:tcBorders>
              <w:top w:val="single" w:sz="8" w:color="0000FF"/>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37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Common Stock Purchase Warrants, dated as of October 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1120" w:type="dxa"/>
            <w:vAlign w:val="bottom"/>
          </w:tcPr>
          <w:p>
            <w:pPr>
              <w:spacing w:after="0"/>
              <w:rPr>
                <w:sz w:val="12"/>
                <w:szCs w:val="12"/>
                <w:color w:val="auto"/>
              </w:rPr>
            </w:pPr>
          </w:p>
        </w:tc>
        <w:tc>
          <w:tcPr>
            <w:tcW w:w="3760" w:type="dxa"/>
            <w:vAlign w:val="bottom"/>
            <w:tcBorders>
              <w:bottom w:val="single" w:sz="8" w:color="0000FF"/>
            </w:tcBorders>
            <w:gridSpan w:val="22"/>
          </w:tcPr>
          <w:p>
            <w:pPr>
              <w:spacing w:after="0" w:line="142" w:lineRule="exact"/>
              <w:rPr>
                <w:rFonts w:ascii="Times New Roman" w:cs="Times New Roman" w:eastAsia="Times New Roman" w:hAnsi="Times New Roman"/>
                <w:sz w:val="16"/>
                <w:szCs w:val="16"/>
                <w:color w:val="0000FF"/>
                <w:w w:val="99"/>
              </w:rPr>
            </w:pPr>
            <w:hyperlink r:id="rId91">
              <w:r>
                <w:rPr>
                  <w:rFonts w:ascii="Times New Roman" w:cs="Times New Roman" w:eastAsia="Times New Roman" w:hAnsi="Times New Roman"/>
                  <w:sz w:val="16"/>
                  <w:szCs w:val="16"/>
                  <w:color w:val="0000FF"/>
                  <w:w w:val="99"/>
                </w:rPr>
                <w:t>2021, by and between Root, Inc. and Carvana Group, LLC</w:t>
              </w:r>
            </w:hyperlink>
          </w:p>
        </w:tc>
        <w:tc>
          <w:tcPr>
            <w:tcW w:w="4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36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Form of Common Stock Purchase Warrant (Tranche 1),</w:t>
              </w:r>
            </w:hyperlink>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1120" w:type="dxa"/>
            <w:vAlign w:val="bottom"/>
          </w:tcPr>
          <w:p>
            <w:pPr>
              <w:spacing w:after="0"/>
              <w:rPr>
                <w:sz w:val="12"/>
                <w:szCs w:val="12"/>
                <w:color w:val="auto"/>
              </w:rPr>
            </w:pPr>
          </w:p>
        </w:tc>
        <w:tc>
          <w:tcPr>
            <w:tcW w:w="1500" w:type="dxa"/>
            <w:vAlign w:val="bottom"/>
            <w:tcBorders>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92">
              <w:r>
                <w:rPr>
                  <w:rFonts w:ascii="Times New Roman" w:cs="Times New Roman" w:eastAsia="Times New Roman" w:hAnsi="Times New Roman"/>
                  <w:sz w:val="16"/>
                  <w:szCs w:val="16"/>
                  <w:color w:val="0000FF"/>
                  <w:w w:val="99"/>
                </w:rPr>
                <w:t>dated January 26, 2022</w:t>
              </w:r>
            </w:hyperlink>
          </w:p>
        </w:tc>
        <w:tc>
          <w:tcPr>
            <w:tcW w:w="210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356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Form of Common Stock Purchase Warrant (Tranche 2)</w:t>
              </w:r>
            </w:hyperlink>
          </w:p>
        </w:tc>
        <w:tc>
          <w:tcPr>
            <w:tcW w:w="300" w:type="dxa"/>
            <w:vAlign w:val="bottom"/>
            <w:gridSpan w:val="10"/>
          </w:tcPr>
          <w:p>
            <w:pPr>
              <w:spacing w:after="0"/>
              <w:rPr>
                <w:sz w:val="21"/>
                <w:szCs w:val="2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2024 Short-Term Incentive Plan</w:t>
            </w:r>
          </w:p>
        </w:tc>
        <w:tc>
          <w:tcPr>
            <w:tcW w:w="1780" w:type="dxa"/>
            <w:vAlign w:val="bottom"/>
            <w:gridSpan w:val="19"/>
          </w:tcPr>
          <w:p>
            <w:pPr>
              <w:spacing w:after="0"/>
              <w:rPr>
                <w:sz w:val="24"/>
                <w:szCs w:val="24"/>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w:t>
            </w:r>
          </w:p>
        </w:tc>
      </w:tr>
      <w:tr>
        <w:trPr>
          <w:trHeight w:val="169"/>
        </w:trPr>
        <w:tc>
          <w:tcPr>
            <w:tcW w:w="11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26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5"/>
          </w:tcPr>
          <w:p>
            <w:pPr>
              <w:spacing w:after="0" w:line="169"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r>
      <w:tr>
        <w:trPr>
          <w:trHeight w:val="156"/>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15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5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w:t>
            </w:r>
          </w:p>
        </w:tc>
        <w:tc>
          <w:tcPr>
            <w:tcW w:w="80" w:type="dxa"/>
            <w:vAlign w:val="bottom"/>
            <w:gridSpan w:val="4"/>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r>
      <w:tr>
        <w:trPr>
          <w:trHeight w:val="169"/>
        </w:trPr>
        <w:tc>
          <w:tcPr>
            <w:tcW w:w="1120" w:type="dxa"/>
            <w:vAlign w:val="bottom"/>
          </w:tcPr>
          <w:p>
            <w:pPr>
              <w:spacing w:after="0"/>
              <w:rPr>
                <w:sz w:val="14"/>
                <w:szCs w:val="14"/>
                <w:color w:val="auto"/>
              </w:rPr>
            </w:pPr>
          </w:p>
        </w:tc>
        <w:tc>
          <w:tcPr>
            <w:tcW w:w="3320" w:type="dxa"/>
            <w:vAlign w:val="bottom"/>
            <w:tcBorders>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22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860" w:type="dxa"/>
            <w:vAlign w:val="bottom"/>
            <w:gridSpan w:val="25"/>
          </w:tcPr>
          <w:p>
            <w:pPr>
              <w:spacing w:after="0" w:line="169"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r>
      <w:tr>
        <w:trPr>
          <w:trHeight w:val="155"/>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15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w:t>
            </w:r>
          </w:p>
        </w:tc>
      </w:tr>
      <w:tr>
        <w:trPr>
          <w:trHeight w:val="169"/>
        </w:trPr>
        <w:tc>
          <w:tcPr>
            <w:tcW w:w="1120" w:type="dxa"/>
            <w:vAlign w:val="bottom"/>
          </w:tcPr>
          <w:p>
            <w:pPr>
              <w:spacing w:after="0"/>
              <w:rPr>
                <w:sz w:val="14"/>
                <w:szCs w:val="14"/>
                <w:color w:val="auto"/>
              </w:rPr>
            </w:pPr>
          </w:p>
        </w:tc>
        <w:tc>
          <w:tcPr>
            <w:tcW w:w="370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6"/>
                <w:szCs w:val="16"/>
                <w:color w:val="0000FF"/>
              </w:rPr>
              <w:t>Financial Officer Pursuant to 18 U.S.C. Section 1350, as</w:t>
            </w:r>
          </w:p>
        </w:tc>
        <w:tc>
          <w:tcPr>
            <w:tcW w:w="160" w:type="dxa"/>
            <w:vAlign w:val="bottom"/>
            <w:gridSpan w:val="4"/>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366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906 of the Sarbanes-Oxley</w:t>
            </w:r>
          </w:p>
        </w:tc>
        <w:tc>
          <w:tcPr>
            <w:tcW w:w="200" w:type="dxa"/>
            <w:vAlign w:val="bottom"/>
            <w:gridSpan w:val="5"/>
          </w:tcPr>
          <w:p>
            <w:pPr>
              <w:spacing w:after="0"/>
              <w:rPr>
                <w:sz w:val="14"/>
                <w:szCs w:val="14"/>
                <w:color w:val="auto"/>
              </w:rPr>
            </w:pPr>
          </w:p>
        </w:tc>
      </w:tr>
      <w:tr>
        <w:trPr>
          <w:trHeight w:val="156"/>
        </w:trPr>
        <w:tc>
          <w:tcPr>
            <w:tcW w:w="1120" w:type="dxa"/>
            <w:vAlign w:val="bottom"/>
          </w:tcPr>
          <w:p>
            <w:pPr>
              <w:spacing w:after="0"/>
              <w:rPr>
                <w:sz w:val="13"/>
                <w:szCs w:val="13"/>
                <w:color w:val="auto"/>
              </w:rPr>
            </w:pPr>
          </w:p>
        </w:tc>
        <w:tc>
          <w:tcPr>
            <w:tcW w:w="3620" w:type="dxa"/>
            <w:vAlign w:val="bottom"/>
            <w:tcBorders>
              <w:top w:val="single" w:sz="8" w:color="0000FF"/>
            </w:tcBorders>
            <w:gridSpan w:val="18"/>
          </w:tcPr>
          <w:p>
            <w:pPr>
              <w:spacing w:after="0" w:line="155" w:lineRule="exact"/>
              <w:rPr>
                <w:sz w:val="20"/>
                <w:szCs w:val="20"/>
                <w:color w:val="auto"/>
              </w:rPr>
            </w:pPr>
            <w:r>
              <w:rPr>
                <w:rFonts w:ascii="Times New Roman" w:cs="Times New Roman" w:eastAsia="Times New Roman" w:hAnsi="Times New Roman"/>
                <w:sz w:val="16"/>
                <w:szCs w:val="16"/>
                <w:color w:val="0000FF"/>
              </w:rPr>
              <w:t>Act of 2002.</w:t>
            </w:r>
          </w:p>
        </w:tc>
        <w:tc>
          <w:tcPr>
            <w:tcW w:w="240" w:type="dxa"/>
            <w:vAlign w:val="bottom"/>
            <w:gridSpan w:val="7"/>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060" w:type="dxa"/>
            <w:vAlign w:val="bottom"/>
            <w:gridSpan w:val="21"/>
          </w:tcPr>
          <w:p>
            <w:pPr>
              <w:spacing w:after="0" w:line="20" w:lineRule="exact"/>
              <w:rPr>
                <w:sz w:val="1"/>
                <w:szCs w:val="1"/>
                <w:color w:val="auto"/>
              </w:rPr>
            </w:pPr>
          </w:p>
        </w:tc>
      </w:tr>
      <w:tr>
        <w:trPr>
          <w:trHeight w:val="31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4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0"/>
        </w:trPr>
        <w:tc>
          <w:tcPr>
            <w:tcW w:w="1120" w:type="dxa"/>
            <w:vAlign w:val="bottom"/>
          </w:tcPr>
          <w:p>
            <w:pPr>
              <w:spacing w:after="0"/>
              <w:rPr>
                <w:sz w:val="18"/>
                <w:szCs w:val="18"/>
                <w:color w:val="auto"/>
              </w:rPr>
            </w:pP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3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0"/>
        </w:trPr>
        <w:tc>
          <w:tcPr>
            <w:tcW w:w="1120" w:type="dxa"/>
            <w:vAlign w:val="bottom"/>
          </w:tcPr>
          <w:p>
            <w:pPr>
              <w:spacing w:after="0"/>
              <w:rPr>
                <w:sz w:val="18"/>
                <w:szCs w:val="18"/>
                <w:color w:val="auto"/>
              </w:rPr>
            </w:pP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0"/>
        </w:trPr>
        <w:tc>
          <w:tcPr>
            <w:tcW w:w="1120" w:type="dxa"/>
            <w:vAlign w:val="bottom"/>
          </w:tcPr>
          <w:p>
            <w:pPr>
              <w:spacing w:after="0"/>
              <w:rPr>
                <w:sz w:val="18"/>
                <w:szCs w:val="18"/>
                <w:color w:val="auto"/>
              </w:rPr>
            </w:pP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0"/>
        </w:trPr>
        <w:tc>
          <w:tcPr>
            <w:tcW w:w="1120" w:type="dxa"/>
            <w:vAlign w:val="bottom"/>
          </w:tcPr>
          <w:p>
            <w:pPr>
              <w:spacing w:after="0"/>
              <w:rPr>
                <w:sz w:val="18"/>
                <w:szCs w:val="18"/>
                <w:color w:val="auto"/>
              </w:rPr>
            </w:pPr>
          </w:p>
        </w:tc>
        <w:tc>
          <w:tcPr>
            <w:tcW w:w="386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30, 2020</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August 15, 2022</w:t>
            </w:r>
          </w:p>
        </w:tc>
        <w:tc>
          <w:tcPr>
            <w:tcW w:w="0" w:type="dxa"/>
            <w:vAlign w:val="bottom"/>
          </w:tcPr>
          <w:p>
            <w:pPr>
              <w:spacing w:after="0"/>
              <w:rPr>
                <w:sz w:val="1"/>
                <w:szCs w:val="1"/>
                <w:color w:val="auto"/>
              </w:rPr>
            </w:pPr>
          </w:p>
        </w:tc>
      </w:tr>
      <w:tr>
        <w:trPr>
          <w:trHeight w:val="364"/>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22, 2023</w:t>
            </w:r>
          </w:p>
        </w:tc>
        <w:tc>
          <w:tcPr>
            <w:tcW w:w="0" w:type="dxa"/>
            <w:vAlign w:val="bottom"/>
          </w:tcPr>
          <w:p>
            <w:pPr>
              <w:spacing w:after="0"/>
              <w:rPr>
                <w:sz w:val="1"/>
                <w:szCs w:val="1"/>
                <w:color w:val="auto"/>
              </w:rPr>
            </w:pPr>
          </w:p>
        </w:tc>
      </w:tr>
      <w:tr>
        <w:trPr>
          <w:trHeight w:val="446"/>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1, 2021</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S-1/A</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8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color w:val="auto"/>
              </w:rPr>
              <w:t>October 20, 2020</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1, 2021</w:t>
            </w:r>
          </w:p>
        </w:tc>
        <w:tc>
          <w:tcPr>
            <w:tcW w:w="0" w:type="dxa"/>
            <w:vAlign w:val="bottom"/>
          </w:tcPr>
          <w:p>
            <w:pPr>
              <w:spacing w:after="0"/>
              <w:rPr>
                <w:sz w:val="1"/>
                <w:szCs w:val="1"/>
                <w:color w:val="auto"/>
              </w:rPr>
            </w:pPr>
          </w:p>
        </w:tc>
      </w:tr>
      <w:tr>
        <w:trPr>
          <w:trHeight w:val="432"/>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27, 2022</w:t>
            </w:r>
          </w:p>
        </w:tc>
        <w:tc>
          <w:tcPr>
            <w:tcW w:w="0" w:type="dxa"/>
            <w:vAlign w:val="bottom"/>
          </w:tcPr>
          <w:p>
            <w:pPr>
              <w:spacing w:after="0"/>
              <w:rPr>
                <w:sz w:val="1"/>
                <w:szCs w:val="1"/>
                <w:color w:val="auto"/>
              </w:rPr>
            </w:pPr>
          </w:p>
        </w:tc>
      </w:tr>
      <w:tr>
        <w:trPr>
          <w:trHeight w:val="364"/>
        </w:trPr>
        <w:tc>
          <w:tcPr>
            <w:tcW w:w="6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27,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59" w:lineRule="exact"/>
        <w:rPr>
          <w:sz w:val="20"/>
          <w:szCs w:val="20"/>
          <w:color w:val="auto"/>
        </w:rPr>
      </w:pPr>
    </w:p>
    <w:p>
      <w:pPr>
        <w:sectPr>
          <w:pgSz w:w="11900" w:h="16838" w:orient="portrait"/>
          <w:cols w:equalWidth="0" w:num="3">
            <w:col w:w="4980" w:space="180"/>
            <w:col w:w="4620" w:space="720"/>
            <w:col w:w="740"/>
          </w:cols>
          <w:pgMar w:left="320" w:top="13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9" w:name="page50"/>
    <w:bookmarkEnd w:id="49"/>
    <w:p>
      <w:pPr>
        <w:ind w:left="1132" w:right="6400" w:hanging="1114"/>
        <w:spacing w:after="0" w:line="245" w:lineRule="auto"/>
        <w:tabs>
          <w:tab w:leader="none" w:pos="1132"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28" w:lineRule="exact"/>
        <w:rPr>
          <w:rFonts w:ascii="Times New Roman" w:cs="Times New Roman" w:eastAsia="Times New Roman" w:hAnsi="Times New Roman"/>
          <w:sz w:val="16"/>
          <w:szCs w:val="16"/>
          <w:color w:val="auto"/>
        </w:rPr>
      </w:pPr>
    </w:p>
    <w:p>
      <w:pPr>
        <w:ind w:left="112" w:hanging="112"/>
        <w:spacing w:after="0"/>
        <w:tabs>
          <w:tab w:leader="none" w:pos="1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17" w:lineRule="exact"/>
        <w:rPr>
          <w:sz w:val="20"/>
          <w:szCs w:val="20"/>
          <w:color w:val="auto"/>
        </w:rPr>
      </w:pPr>
    </w:p>
    <w:p>
      <w:pPr>
        <w:ind w:left="72" w:hanging="72"/>
        <w:spacing w:after="0" w:line="278" w:lineRule="auto"/>
        <w:tabs>
          <w:tab w:leader="none" w:pos="9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2"/>
          </w:cols>
          <w:pgMar w:left="328" w:top="1381" w:right="59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Root, Inc.</w:t>
      </w:r>
    </w:p>
    <w:p>
      <w:pPr>
        <w:sectPr>
          <w:pgSz w:w="11900" w:h="16838" w:orient="portrait"/>
          <w:cols w:equalWidth="0" w:num="1">
            <w:col w:w="11200"/>
          </w:cols>
          <w:pgMar w:left="320" w:top="1332" w:right="379" w:bottom="1440" w:gutter="0" w:footer="0" w:header="0"/>
        </w:sectPr>
      </w:pPr>
    </w:p>
    <w:p>
      <w:pPr>
        <w:spacing w:after="0" w:line="320"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394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40290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40887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Forish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4088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Forish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300" w:space="520"/>
            <w:col w:w="6380"/>
          </w:cols>
          <w:pgMar w:left="320" w:top="133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00"/>
          </w:cols>
          <w:pgMar w:left="320" w:top="1332" w:right="379" w:bottom="1440" w:gutter="0" w:footer="0" w:header="0"/>
          <w:type w:val="continuous"/>
        </w:sectPr>
      </w:pPr>
    </w:p>
    <w:bookmarkStart w:id="51" w:name="page52"/>
    <w:bookmarkEnd w:id="51"/>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3491230</wp:posOffset>
            </wp:positionH>
            <wp:positionV relativeFrom="page">
              <wp:posOffset>88900</wp:posOffset>
            </wp:positionV>
            <wp:extent cx="574675" cy="5740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2024 Root Short-Term Incentve Plan</w:t>
      </w:r>
    </w:p>
    <w:p>
      <w:pPr>
        <w:spacing w:after="0" w:line="217" w:lineRule="exact"/>
        <w:rPr>
          <w:sz w:val="20"/>
          <w:szCs w:val="20"/>
          <w:color w:val="auto"/>
        </w:rPr>
      </w:pPr>
    </w:p>
    <w:p>
      <w:pPr>
        <w:spacing w:after="0" w:line="221" w:lineRule="auto"/>
        <w:rPr>
          <w:sz w:val="20"/>
          <w:szCs w:val="20"/>
          <w:color w:val="auto"/>
        </w:rPr>
      </w:pPr>
      <w:r>
        <w:rPr>
          <w:rFonts w:ascii="Calibri" w:cs="Calibri" w:eastAsia="Calibri" w:hAnsi="Calibri"/>
          <w:sz w:val="22"/>
          <w:szCs w:val="22"/>
          <w:color w:val="auto"/>
        </w:rPr>
        <w:t>This 2024 Short-Term Incentve Plan (the “Plan”) of Root, Inc. (the “Company”) covers the period from January 1, 2024 through December 31, 2024. The purpose of the Plan is to promote the success of the Company by rewarding employees for outstanding business results, as well as motvatng employees in a high-performance culture.</w:t>
      </w:r>
    </w:p>
    <w:p>
      <w:pPr>
        <w:spacing w:after="0" w:line="230" w:lineRule="exact"/>
        <w:rPr>
          <w:sz w:val="20"/>
          <w:szCs w:val="20"/>
          <w:color w:val="auto"/>
        </w:rPr>
      </w:pPr>
    </w:p>
    <w:p>
      <w:pPr>
        <w:ind w:right="240"/>
        <w:spacing w:after="0" w:line="228" w:lineRule="auto"/>
        <w:rPr>
          <w:sz w:val="20"/>
          <w:szCs w:val="20"/>
          <w:color w:val="auto"/>
        </w:rPr>
      </w:pPr>
      <w:r>
        <w:rPr>
          <w:rFonts w:ascii="Calibri" w:cs="Calibri" w:eastAsia="Calibri" w:hAnsi="Calibri"/>
          <w:sz w:val="22"/>
          <w:szCs w:val="22"/>
          <w:color w:val="auto"/>
        </w:rPr>
        <w:t xml:space="preserve">For 2024, incentve payments under the Plan </w:t>
      </w:r>
      <w:r>
        <w:rPr>
          <w:rFonts w:ascii="Calibri" w:cs="Calibri" w:eastAsia="Calibri" w:hAnsi="Calibri"/>
          <w:sz w:val="19"/>
          <w:szCs w:val="19"/>
          <w:color w:val="auto"/>
        </w:rPr>
        <w:t>will be awarded by a pool that is funded based on the measurement of identfed</w:t>
      </w:r>
      <w:r>
        <w:rPr>
          <w:rFonts w:ascii="Calibri" w:cs="Calibri" w:eastAsia="Calibri" w:hAnsi="Calibri"/>
          <w:sz w:val="22"/>
          <w:szCs w:val="22"/>
          <w:color w:val="auto"/>
        </w:rPr>
        <w:t xml:space="preserve"> </w:t>
      </w:r>
      <w:r>
        <w:rPr>
          <w:rFonts w:ascii="Calibri" w:cs="Calibri" w:eastAsia="Calibri" w:hAnsi="Calibri"/>
          <w:sz w:val="19"/>
          <w:szCs w:val="19"/>
          <w:color w:val="auto"/>
        </w:rPr>
        <w:t xml:space="preserve">company measure(s). </w:t>
      </w:r>
      <w:r>
        <w:rPr>
          <w:rFonts w:ascii="Calibri" w:cs="Calibri" w:eastAsia="Calibri" w:hAnsi="Calibri"/>
          <w:sz w:val="21"/>
          <w:szCs w:val="21"/>
          <w:color w:val="auto"/>
        </w:rPr>
        <w:t>Using this pool,</w:t>
      </w:r>
      <w:r>
        <w:rPr>
          <w:rFonts w:ascii="Calibri" w:cs="Calibri" w:eastAsia="Calibri" w:hAnsi="Calibri"/>
          <w:sz w:val="19"/>
          <w:szCs w:val="19"/>
          <w:color w:val="auto"/>
        </w:rPr>
        <w:t xml:space="preserve"> leaders </w:t>
      </w:r>
      <w:r>
        <w:rPr>
          <w:rFonts w:ascii="Calibri" w:cs="Calibri" w:eastAsia="Calibri" w:hAnsi="Calibri"/>
          <w:sz w:val="21"/>
          <w:szCs w:val="21"/>
          <w:color w:val="auto"/>
        </w:rPr>
        <w:t>will be making awards to eligible employees based on their respectve targets and</w:t>
      </w:r>
      <w:r>
        <w:rPr>
          <w:rFonts w:ascii="Calibri" w:cs="Calibri" w:eastAsia="Calibri" w:hAnsi="Calibri"/>
          <w:sz w:val="19"/>
          <w:szCs w:val="19"/>
          <w:color w:val="auto"/>
        </w:rPr>
        <w:t xml:space="preserve"> </w:t>
      </w:r>
      <w:r>
        <w:rPr>
          <w:rFonts w:ascii="Calibri" w:cs="Calibri" w:eastAsia="Calibri" w:hAnsi="Calibri"/>
          <w:sz w:val="21"/>
          <w:szCs w:val="21"/>
          <w:color w:val="auto"/>
        </w:rPr>
        <w:t>achievement of individual performance objectves for the year.</w:t>
      </w:r>
    </w:p>
    <w:p>
      <w:pPr>
        <w:spacing w:after="0" w:line="230" w:lineRule="exact"/>
        <w:rPr>
          <w:sz w:val="20"/>
          <w:szCs w:val="20"/>
          <w:color w:val="auto"/>
        </w:rPr>
      </w:pPr>
    </w:p>
    <w:p>
      <w:pPr>
        <w:ind w:right="60"/>
        <w:spacing w:after="0" w:line="217" w:lineRule="auto"/>
        <w:rPr>
          <w:sz w:val="20"/>
          <w:szCs w:val="20"/>
          <w:color w:val="auto"/>
        </w:rPr>
      </w:pPr>
      <w:r>
        <w:rPr>
          <w:rFonts w:ascii="Calibri" w:cs="Calibri" w:eastAsia="Calibri" w:hAnsi="Calibri"/>
          <w:sz w:val="22"/>
          <w:szCs w:val="22"/>
          <w:color w:val="auto"/>
        </w:rPr>
        <w:t>Each eligible employee’s performance objectves may change from year to year as the Company contnues to evolve and establish diferent priorites. The objectves will remain subject to the review and approval of the CEO and/or the Compensaton Commitee of the Board of Directors.</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color w:val="auto"/>
        </w:rPr>
        <w:t>The Plan details are as follows</w:t>
      </w:r>
      <w:r>
        <w:rPr>
          <w:rFonts w:ascii="Calibri" w:cs="Calibri" w:eastAsia="Calibri" w:hAnsi="Calibri"/>
          <w:sz w:val="19"/>
          <w:szCs w:val="19"/>
          <w:color w:val="auto"/>
        </w:rPr>
        <w:t>:</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1. Company Measures (funding the pool)</w:t>
      </w:r>
    </w:p>
    <w:p>
      <w:pPr>
        <w:spacing w:after="0" w:line="277"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5180" w:type="dxa"/>
            <w:vAlign w:val="bottom"/>
            <w:tcBorders>
              <w:top w:val="single" w:sz="8" w:color="auto"/>
              <w:left w:val="single" w:sz="8" w:color="auto"/>
              <w:right w:val="single" w:sz="8" w:color="auto"/>
            </w:tcBorders>
          </w:tcPr>
          <w:p>
            <w:pPr>
              <w:ind w:left="20"/>
              <w:spacing w:after="0"/>
              <w:rPr>
                <w:sz w:val="20"/>
                <w:szCs w:val="20"/>
                <w:color w:val="auto"/>
              </w:rPr>
            </w:pPr>
            <w:r>
              <w:rPr>
                <w:rFonts w:ascii="Calibri" w:cs="Calibri" w:eastAsia="Calibri" w:hAnsi="Calibri"/>
                <w:sz w:val="22"/>
                <w:szCs w:val="22"/>
                <w:color w:val="auto"/>
              </w:rPr>
              <w:t>Measure</w:t>
            </w:r>
          </w:p>
        </w:tc>
        <w:tc>
          <w:tcPr>
            <w:tcW w:w="5180" w:type="dxa"/>
            <w:vAlign w:val="bottom"/>
            <w:tcBorders>
              <w:top w:val="single" w:sz="8" w:color="auto"/>
              <w:right w:val="single" w:sz="8" w:color="auto"/>
            </w:tcBorders>
          </w:tcPr>
          <w:p>
            <w:pPr>
              <w:spacing w:after="0"/>
              <w:rPr>
                <w:sz w:val="20"/>
                <w:szCs w:val="20"/>
                <w:color w:val="auto"/>
              </w:rPr>
            </w:pPr>
            <w:r>
              <w:rPr>
                <w:rFonts w:ascii="Calibri" w:cs="Calibri" w:eastAsia="Calibri" w:hAnsi="Calibri"/>
                <w:sz w:val="22"/>
                <w:szCs w:val="22"/>
                <w:color w:val="auto"/>
              </w:rPr>
              <w:t>Weightng</w:t>
            </w:r>
          </w:p>
        </w:tc>
      </w:tr>
      <w:tr>
        <w:trPr>
          <w:trHeight w:val="28"/>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77"/>
        </w:trPr>
        <w:tc>
          <w:tcPr>
            <w:tcW w:w="5180" w:type="dxa"/>
            <w:vAlign w:val="bottom"/>
            <w:tcBorders>
              <w:left w:val="single" w:sz="8" w:color="auto"/>
              <w:bottom w:val="single" w:sz="8" w:color="auto"/>
              <w:right w:val="single" w:sz="8" w:color="auto"/>
            </w:tcBorders>
          </w:tcPr>
          <w:p>
            <w:pPr>
              <w:ind w:left="20"/>
              <w:spacing w:after="0" w:line="276" w:lineRule="exact"/>
              <w:rPr>
                <w:sz w:val="20"/>
                <w:szCs w:val="20"/>
                <w:color w:val="auto"/>
              </w:rPr>
            </w:pPr>
            <w:r>
              <w:rPr>
                <w:rFonts w:ascii="Calibri" w:cs="Calibri" w:eastAsia="Calibri" w:hAnsi="Calibri"/>
                <w:sz w:val="22"/>
                <w:szCs w:val="22"/>
                <w:color w:val="auto"/>
              </w:rPr>
              <w:t>Policy-in-Force Growth</w:t>
            </w:r>
            <w:r>
              <w:rPr>
                <w:rFonts w:ascii="Calibri" w:cs="Calibri" w:eastAsia="Calibri" w:hAnsi="Calibri"/>
                <w:sz w:val="25"/>
                <w:szCs w:val="25"/>
                <w:color w:val="auto"/>
                <w:vertAlign w:val="superscript"/>
              </w:rPr>
              <w:t>1</w:t>
            </w:r>
          </w:p>
        </w:tc>
        <w:tc>
          <w:tcPr>
            <w:tcW w:w="5180" w:type="dxa"/>
            <w:vAlign w:val="bottom"/>
            <w:tcBorders>
              <w:bottom w:val="single" w:sz="8" w:color="auto"/>
              <w:right w:val="single" w:sz="8" w:color="auto"/>
            </w:tcBorders>
          </w:tcPr>
          <w:p>
            <w:pPr>
              <w:spacing w:after="0" w:line="256" w:lineRule="exact"/>
              <w:rPr>
                <w:sz w:val="20"/>
                <w:szCs w:val="20"/>
                <w:color w:val="auto"/>
              </w:rPr>
            </w:pPr>
            <w:r>
              <w:rPr>
                <w:rFonts w:ascii="Calibri" w:cs="Calibri" w:eastAsia="Calibri" w:hAnsi="Calibri"/>
                <w:sz w:val="22"/>
                <w:szCs w:val="22"/>
                <w:color w:val="auto"/>
              </w:rPr>
              <w:t>50%</w:t>
            </w:r>
          </w:p>
        </w:tc>
      </w:tr>
      <w:tr>
        <w:trPr>
          <w:trHeight w:val="250"/>
        </w:trPr>
        <w:tc>
          <w:tcPr>
            <w:tcW w:w="5180" w:type="dxa"/>
            <w:vAlign w:val="bottom"/>
            <w:tcBorders>
              <w:left w:val="single" w:sz="8" w:color="auto"/>
              <w:right w:val="single" w:sz="8" w:color="auto"/>
            </w:tcBorders>
          </w:tcPr>
          <w:p>
            <w:pPr>
              <w:ind w:left="20"/>
              <w:spacing w:after="0" w:line="249" w:lineRule="exact"/>
              <w:rPr>
                <w:sz w:val="20"/>
                <w:szCs w:val="20"/>
                <w:color w:val="auto"/>
              </w:rPr>
            </w:pPr>
            <w:r>
              <w:rPr>
                <w:rFonts w:ascii="Calibri" w:cs="Calibri" w:eastAsia="Calibri" w:hAnsi="Calibri"/>
                <w:sz w:val="22"/>
                <w:szCs w:val="22"/>
                <w:color w:val="auto"/>
              </w:rPr>
              <w:t>Accident Period Gross Loss Rato</w:t>
            </w:r>
            <w:r>
              <w:rPr>
                <w:rFonts w:ascii="Calibri" w:cs="Calibri" w:eastAsia="Calibri" w:hAnsi="Calibri"/>
                <w:sz w:val="11"/>
                <w:szCs w:val="11"/>
                <w:color w:val="auto"/>
              </w:rPr>
              <w:t>1</w:t>
            </w:r>
          </w:p>
        </w:tc>
        <w:tc>
          <w:tcPr>
            <w:tcW w:w="5180" w:type="dxa"/>
            <w:vAlign w:val="bottom"/>
            <w:tcBorders>
              <w:right w:val="single" w:sz="8" w:color="auto"/>
            </w:tcBorders>
          </w:tcPr>
          <w:p>
            <w:pPr>
              <w:spacing w:after="0" w:line="249" w:lineRule="exact"/>
              <w:rPr>
                <w:sz w:val="20"/>
                <w:szCs w:val="20"/>
                <w:color w:val="auto"/>
              </w:rPr>
            </w:pPr>
            <w:r>
              <w:rPr>
                <w:rFonts w:ascii="Calibri" w:cs="Calibri" w:eastAsia="Calibri" w:hAnsi="Calibri"/>
                <w:sz w:val="22"/>
                <w:szCs w:val="22"/>
                <w:color w:val="auto"/>
              </w:rPr>
              <w:t>50%</w:t>
            </w: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bl>
    <w:p>
      <w:pPr>
        <w:spacing w:after="0" w:line="295" w:lineRule="exact"/>
        <w:rPr>
          <w:sz w:val="20"/>
          <w:szCs w:val="20"/>
          <w:color w:val="auto"/>
        </w:rPr>
      </w:pPr>
    </w:p>
    <w:p>
      <w:pPr>
        <w:ind w:right="200"/>
        <w:spacing w:after="0" w:line="222" w:lineRule="auto"/>
        <w:rPr>
          <w:sz w:val="20"/>
          <w:szCs w:val="20"/>
          <w:color w:val="auto"/>
        </w:rPr>
      </w:pPr>
      <w:r>
        <w:rPr>
          <w:rFonts w:ascii="Calibri" w:cs="Calibri" w:eastAsia="Calibri" w:hAnsi="Calibri"/>
          <w:sz w:val="22"/>
          <w:szCs w:val="22"/>
          <w:b w:val="1"/>
          <w:bCs w:val="1"/>
          <w:color w:val="auto"/>
        </w:rPr>
        <w:t xml:space="preserve">Under the plan, Company performance may fund the pool between 0 and 200%. </w:t>
      </w:r>
      <w:r>
        <w:rPr>
          <w:rFonts w:ascii="Calibri" w:cs="Calibri" w:eastAsia="Calibri" w:hAnsi="Calibri"/>
          <w:sz w:val="22"/>
          <w:szCs w:val="22"/>
          <w:color w:val="auto"/>
        </w:rPr>
        <w:t>The maximum payment which can be made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under the Plan based on the measures above only and individual performance is 300%.</w:t>
      </w:r>
    </w:p>
    <w:p>
      <w:pPr>
        <w:spacing w:after="0" w:line="232" w:lineRule="exact"/>
        <w:rPr>
          <w:sz w:val="20"/>
          <w:szCs w:val="20"/>
          <w:color w:val="auto"/>
        </w:rPr>
      </w:pPr>
    </w:p>
    <w:p>
      <w:pPr>
        <w:ind w:right="200"/>
        <w:spacing w:after="0" w:line="207" w:lineRule="auto"/>
        <w:rPr>
          <w:sz w:val="20"/>
          <w:szCs w:val="20"/>
          <w:color w:val="auto"/>
        </w:rPr>
      </w:pPr>
      <w:r>
        <w:rPr>
          <w:rFonts w:ascii="Calibri" w:cs="Calibri" w:eastAsia="Calibri" w:hAnsi="Calibri"/>
          <w:sz w:val="21"/>
          <w:szCs w:val="21"/>
          <w:color w:val="auto"/>
        </w:rPr>
        <w:t>In additon to payments earned as described above, if the targets for the Company Measures are atained, an additonal payment may be earned based on atainment of a separate Fiscal Year aEBITDA</w:t>
      </w:r>
      <w:r>
        <w:rPr>
          <w:rFonts w:ascii="Calibri" w:cs="Calibri" w:eastAsia="Calibri" w:hAnsi="Calibri"/>
          <w:sz w:val="27"/>
          <w:szCs w:val="27"/>
          <w:color w:val="auto"/>
          <w:vertAlign w:val="superscript"/>
        </w:rPr>
        <w:t>1</w:t>
      </w:r>
      <w:r>
        <w:rPr>
          <w:rFonts w:ascii="Calibri" w:cs="Calibri" w:eastAsia="Calibri" w:hAnsi="Calibri"/>
          <w:sz w:val="21"/>
          <w:szCs w:val="21"/>
          <w:color w:val="auto"/>
        </w:rPr>
        <w:t xml:space="preserve"> metric equaling 10% of positve aEBITDA, prorated 20% to Senior Management, as designated by the Compensaton Commitee, and 80% to the other plan partcipants.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 Payout Schedule:</w:t>
      </w:r>
    </w:p>
    <w:p>
      <w:pPr>
        <w:spacing w:after="0" w:line="217" w:lineRule="auto"/>
        <w:rPr>
          <w:sz w:val="20"/>
          <w:szCs w:val="20"/>
          <w:color w:val="auto"/>
        </w:rPr>
      </w:pPr>
      <w:r>
        <w:rPr>
          <w:rFonts w:ascii="Calibri" w:cs="Calibri" w:eastAsia="Calibri" w:hAnsi="Calibri"/>
          <w:sz w:val="22"/>
          <w:szCs w:val="22"/>
          <w:color w:val="auto"/>
        </w:rPr>
        <w:t>If approved, the 2024 payments under the Plan will be paid out during the frst quarter of 2025.</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3. Eligibility:</w:t>
      </w:r>
    </w:p>
    <w:p>
      <w:pPr>
        <w:spacing w:after="0" w:line="217" w:lineRule="auto"/>
        <w:rPr>
          <w:sz w:val="20"/>
          <w:szCs w:val="20"/>
          <w:color w:val="auto"/>
        </w:rPr>
      </w:pPr>
      <w:r>
        <w:rPr>
          <w:rFonts w:ascii="Calibri" w:cs="Calibri" w:eastAsia="Calibri" w:hAnsi="Calibri"/>
          <w:sz w:val="22"/>
          <w:szCs w:val="22"/>
          <w:color w:val="auto"/>
        </w:rPr>
        <w:t>Eligibility for the Plan is role-specifc, as determined and communicated by management. To qualify for a payment under the</w:t>
      </w:r>
    </w:p>
    <w:p>
      <w:pPr>
        <w:spacing w:after="0" w:line="219" w:lineRule="auto"/>
        <w:rPr>
          <w:sz w:val="20"/>
          <w:szCs w:val="20"/>
          <w:color w:val="auto"/>
        </w:rPr>
      </w:pPr>
      <w:r>
        <w:rPr>
          <w:rFonts w:ascii="Calibri" w:cs="Calibri" w:eastAsia="Calibri" w:hAnsi="Calibri"/>
          <w:sz w:val="22"/>
          <w:szCs w:val="22"/>
          <w:color w:val="auto"/>
        </w:rPr>
        <w:t>Plan, an employee must be:</w:t>
      </w:r>
    </w:p>
    <w:p>
      <w:pPr>
        <w:ind w:left="640" w:hanging="308"/>
        <w:spacing w:after="0" w:line="227" w:lineRule="auto"/>
        <w:tabs>
          <w:tab w:leader="none" w:pos="640" w:val="left"/>
        </w:tabs>
        <w:numPr>
          <w:ilvl w:val="0"/>
          <w:numId w:val="23"/>
        </w:numPr>
        <w:rPr>
          <w:rFonts w:ascii="Arial" w:cs="Arial" w:eastAsia="Arial" w:hAnsi="Arial"/>
          <w:sz w:val="20"/>
          <w:szCs w:val="20"/>
          <w:color w:val="auto"/>
        </w:rPr>
      </w:pPr>
      <w:r>
        <w:rPr>
          <w:rFonts w:ascii="Calibri" w:cs="Calibri" w:eastAsia="Calibri" w:hAnsi="Calibri"/>
          <w:sz w:val="22"/>
          <w:szCs w:val="22"/>
          <w:color w:val="auto"/>
        </w:rPr>
        <w:t xml:space="preserve">hired on or prior to September 30, 2024 </w:t>
      </w:r>
      <w:r>
        <w:rPr>
          <w:rFonts w:ascii="Calibri" w:cs="Calibri" w:eastAsia="Calibri" w:hAnsi="Calibri"/>
          <w:sz w:val="19"/>
          <w:szCs w:val="19"/>
          <w:color w:val="auto"/>
        </w:rPr>
        <w:t>working</w:t>
      </w:r>
      <w:r>
        <w:rPr>
          <w:rFonts w:ascii="Calibri" w:cs="Calibri" w:eastAsia="Calibri" w:hAnsi="Calibri"/>
          <w:sz w:val="22"/>
          <w:szCs w:val="22"/>
          <w:color w:val="auto"/>
        </w:rPr>
        <w:t xml:space="preserve"> in an award-eligible role; and</w:t>
      </w:r>
    </w:p>
    <w:p>
      <w:pPr>
        <w:spacing w:after="0" w:line="12" w:lineRule="exact"/>
        <w:rPr>
          <w:rFonts w:ascii="Arial" w:cs="Arial" w:eastAsia="Arial" w:hAnsi="Arial"/>
          <w:sz w:val="20"/>
          <w:szCs w:val="20"/>
          <w:color w:val="auto"/>
        </w:rPr>
      </w:pPr>
    </w:p>
    <w:p>
      <w:pPr>
        <w:ind w:left="640" w:hanging="308"/>
        <w:spacing w:after="0" w:line="220" w:lineRule="auto"/>
        <w:tabs>
          <w:tab w:leader="none" w:pos="640" w:val="left"/>
        </w:tabs>
        <w:numPr>
          <w:ilvl w:val="0"/>
          <w:numId w:val="23"/>
        </w:numPr>
        <w:rPr>
          <w:rFonts w:ascii="Arial" w:cs="Arial" w:eastAsia="Arial" w:hAnsi="Arial"/>
          <w:sz w:val="20"/>
          <w:szCs w:val="20"/>
          <w:color w:val="auto"/>
        </w:rPr>
      </w:pPr>
      <w:r>
        <w:rPr>
          <w:rFonts w:ascii="Calibri" w:cs="Calibri" w:eastAsia="Calibri" w:hAnsi="Calibri"/>
          <w:sz w:val="22"/>
          <w:szCs w:val="22"/>
          <w:color w:val="auto"/>
        </w:rPr>
        <w:t>actvely employed at the tme the payment is made.</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w:t>
      </w:r>
    </w:p>
    <w:p>
      <w:pPr>
        <w:ind w:left="120" w:hanging="112"/>
        <w:spacing w:after="0" w:line="193" w:lineRule="auto"/>
        <w:tabs>
          <w:tab w:leader="none" w:pos="120" w:val="left"/>
        </w:tabs>
        <w:numPr>
          <w:ilvl w:val="0"/>
          <w:numId w:val="24"/>
        </w:numPr>
        <w:rPr>
          <w:rFonts w:ascii="Calibri" w:cs="Calibri" w:eastAsia="Calibri" w:hAnsi="Calibri"/>
          <w:sz w:val="22"/>
          <w:szCs w:val="22"/>
          <w:color w:val="0000FF"/>
          <w:vertAlign w:val="superscript"/>
        </w:rPr>
      </w:pPr>
      <w:r>
        <w:rPr>
          <w:rFonts w:ascii="Calibri" w:cs="Calibri" w:eastAsia="Calibri" w:hAnsi="Calibri"/>
          <w:sz w:val="17"/>
          <w:szCs w:val="17"/>
          <w:color w:val="auto"/>
        </w:rPr>
        <w:t>Policy-in-Force Growth, Accident Period Gross Loss Rato, and Fiscal Year aEBITDA are defned in Exhibit A.</w:t>
      </w:r>
    </w:p>
    <w:p>
      <w:pPr>
        <w:sectPr>
          <w:pgSz w:w="11900" w:h="16838" w:orient="portrait"/>
          <w:cols w:equalWidth="0" w:num="1">
            <w:col w:w="11240"/>
          </w:cols>
          <w:pgMar w:left="320" w:top="1440" w:right="339" w:bottom="1440" w:gutter="0" w:footer="0" w:header="0"/>
        </w:sectPr>
      </w:pPr>
    </w:p>
    <w:bookmarkStart w:id="52" w:name="page53"/>
    <w:bookmarkEnd w:id="52"/>
    <w:p>
      <w:pPr>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3491230</wp:posOffset>
            </wp:positionH>
            <wp:positionV relativeFrom="page">
              <wp:posOffset>88900</wp:posOffset>
            </wp:positionV>
            <wp:extent cx="574675" cy="574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74675" cy="574040"/>
                    </a:xfrm>
                    <a:prstGeom prst="rect">
                      <a:avLst/>
                    </a:prstGeom>
                    <a:noFill/>
                  </pic:spPr>
                </pic:pic>
              </a:graphicData>
            </a:graphic>
          </wp:anchor>
        </w:drawing>
        <w:t>4. Eligible Earnings:</w:t>
      </w:r>
    </w:p>
    <w:p>
      <w:pPr>
        <w:ind w:right="20"/>
        <w:spacing w:after="0" w:line="217" w:lineRule="auto"/>
        <w:rPr>
          <w:sz w:val="20"/>
          <w:szCs w:val="20"/>
          <w:color w:val="auto"/>
        </w:rPr>
      </w:pPr>
      <w:r>
        <w:rPr>
          <w:rFonts w:ascii="Calibri" w:cs="Calibri" w:eastAsia="Calibri" w:hAnsi="Calibri"/>
          <w:sz w:val="22"/>
          <w:szCs w:val="22"/>
          <w:color w:val="auto"/>
        </w:rPr>
        <w:t>A payment will be based on the eligible employee</w:t>
      </w:r>
      <w:r>
        <w:rPr>
          <w:rFonts w:ascii="Calibri" w:cs="Calibri" w:eastAsia="Calibri" w:hAnsi="Calibri"/>
          <w:sz w:val="19"/>
          <w:szCs w:val="19"/>
          <w:color w:val="auto"/>
        </w:rPr>
        <w:t>’s target expressed as a percent of base salary, multplied by</w:t>
      </w:r>
      <w:r>
        <w:rPr>
          <w:rFonts w:ascii="Calibri" w:cs="Calibri" w:eastAsia="Calibri" w:hAnsi="Calibri"/>
          <w:sz w:val="22"/>
          <w:szCs w:val="22"/>
          <w:color w:val="auto"/>
        </w:rPr>
        <w:t xml:space="preserve"> base salary as of December 31, 2024. Eligible earnings generally include all elements of base salary and hours worked including pay for regular hours worked, overtme, holidays, and PTO. Other bonus or incentve earnings are not included in eligible earnings for purposes of the Plan. Eligible earnings will be prorated based on hire date or transiton into an award-eligible role.</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5. Terms and Conditons:</w:t>
      </w:r>
    </w:p>
    <w:p>
      <w:pPr>
        <w:spacing w:after="0" w:line="206" w:lineRule="auto"/>
        <w:rPr>
          <w:sz w:val="20"/>
          <w:szCs w:val="20"/>
          <w:color w:val="auto"/>
        </w:rPr>
      </w:pPr>
      <w:r>
        <w:rPr>
          <w:rFonts w:ascii="Calibri" w:cs="Calibri" w:eastAsia="Calibri" w:hAnsi="Calibri"/>
          <w:sz w:val="22"/>
          <w:szCs w:val="22"/>
          <w:color w:val="auto"/>
        </w:rPr>
        <w:t>“Actvely employed” means that the employee is a current employee of the Company.</w:t>
      </w:r>
    </w:p>
    <w:p>
      <w:pPr>
        <w:spacing w:after="0" w:line="229" w:lineRule="exact"/>
        <w:rPr>
          <w:sz w:val="20"/>
          <w:szCs w:val="20"/>
          <w:color w:val="auto"/>
        </w:rPr>
      </w:pPr>
    </w:p>
    <w:p>
      <w:pPr>
        <w:ind w:right="20"/>
        <w:spacing w:after="0" w:line="220" w:lineRule="auto"/>
        <w:rPr>
          <w:sz w:val="20"/>
          <w:szCs w:val="20"/>
          <w:color w:val="auto"/>
        </w:rPr>
      </w:pPr>
      <w:r>
        <w:rPr>
          <w:rFonts w:ascii="Calibri" w:cs="Calibri" w:eastAsia="Calibri" w:hAnsi="Calibri"/>
          <w:sz w:val="22"/>
          <w:szCs w:val="22"/>
          <w:color w:val="auto"/>
        </w:rPr>
        <w:t>The Company intends for the benefts provided under the Plan to comply with, or be exempt from, the requirements of Internal Revenue Code Secton 409A, the state and federal Family Medical Leave Act, the Americans with Disabilites Act, USERRA, and all other applicable state and federal laws, and the Plan will be interpreted to that end. The Company reserves the right to amend the Plan as necessary to comply with applicable federal and state laws.</w:t>
      </w:r>
    </w:p>
    <w:p>
      <w:pPr>
        <w:spacing w:after="0" w:line="230" w:lineRule="exact"/>
        <w:rPr>
          <w:sz w:val="20"/>
          <w:szCs w:val="20"/>
          <w:color w:val="auto"/>
        </w:rPr>
      </w:pPr>
    </w:p>
    <w:p>
      <w:pPr>
        <w:spacing w:after="0" w:line="220" w:lineRule="auto"/>
        <w:rPr>
          <w:sz w:val="20"/>
          <w:szCs w:val="20"/>
          <w:color w:val="auto"/>
        </w:rPr>
      </w:pPr>
      <w:r>
        <w:rPr>
          <w:rFonts w:ascii="Calibri" w:cs="Calibri" w:eastAsia="Calibri" w:hAnsi="Calibri"/>
          <w:sz w:val="22"/>
          <w:szCs w:val="22"/>
          <w:color w:val="auto"/>
        </w:rPr>
        <w:t>Payments made under the Plan are ofered at the sole discreton of the Company. The Company reserves the right to change, modify, or eliminate any provision of the Plan at any tme, without notce. The Plan is not intended as a contract or a contract of employment. All employment with the Company is “at will,” which means that the Company or an employee may terminate the employment relatonship at any tme, with or without cause, and with or without notce.</w:t>
      </w:r>
    </w:p>
    <w:p>
      <w:pPr>
        <w:sectPr>
          <w:pgSz w:w="11900" w:h="16838" w:orient="portrait"/>
          <w:cols w:equalWidth="0" w:num="1">
            <w:col w:w="11180"/>
          </w:cols>
          <w:pgMar w:left="320" w:top="1383" w:right="399" w:bottom="1440" w:gutter="0" w:footer="0" w:header="0"/>
        </w:sectPr>
      </w:pPr>
    </w:p>
    <w:bookmarkStart w:id="53" w:name="page54"/>
    <w:bookmarkEnd w:id="53"/>
    <w:p>
      <w:pPr>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3491230</wp:posOffset>
            </wp:positionH>
            <wp:positionV relativeFrom="page">
              <wp:posOffset>88900</wp:posOffset>
            </wp:positionV>
            <wp:extent cx="574675" cy="5740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74675" cy="574040"/>
                    </a:xfrm>
                    <a:prstGeom prst="rect">
                      <a:avLst/>
                    </a:prstGeom>
                    <a:noFill/>
                  </pic:spPr>
                </pic:pic>
              </a:graphicData>
            </a:graphic>
          </wp:anchor>
        </w:drawing>
        <w:t>xhibit A – Company Measures Defned</w:t>
      </w:r>
    </w:p>
    <w:p>
      <w:pPr>
        <w:spacing w:after="0" w:line="217"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i w:val="1"/>
          <w:iCs w:val="1"/>
          <w:u w:val="single" w:color="auto"/>
          <w:color w:val="auto"/>
        </w:rPr>
        <w:t>Policy-in-Force Growth</w:t>
      </w:r>
    </w:p>
    <w:p>
      <w:pPr>
        <w:spacing w:after="0" w:line="80" w:lineRule="exact"/>
        <w:rPr>
          <w:sz w:val="20"/>
          <w:szCs w:val="20"/>
          <w:color w:val="auto"/>
        </w:rPr>
      </w:pPr>
    </w:p>
    <w:p>
      <w:pPr>
        <w:ind w:left="100" w:right="20"/>
        <w:spacing w:after="0" w:line="211" w:lineRule="auto"/>
        <w:rPr>
          <w:sz w:val="20"/>
          <w:szCs w:val="20"/>
          <w:color w:val="auto"/>
        </w:rPr>
      </w:pPr>
      <w:r>
        <w:rPr>
          <w:rFonts w:ascii="Calibri" w:cs="Calibri" w:eastAsia="Calibri" w:hAnsi="Calibri"/>
          <w:sz w:val="22"/>
          <w:szCs w:val="22"/>
          <w:color w:val="auto"/>
        </w:rPr>
        <w:t>We defne policies in force as the number of current and actve auto insurance policyholders underwriten by us as of the period end date. We view policies in force as an important metric to assess our fnancial performance because policy growth drives our revenue growth, expands brand awareness, deepens our market penetraton, and generates additonal data to contnue to improve the functoning of our platorm.</w:t>
      </w:r>
    </w:p>
    <w:p>
      <w:pPr>
        <w:spacing w:after="0" w:line="206"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i w:val="1"/>
          <w:iCs w:val="1"/>
          <w:u w:val="single" w:color="auto"/>
          <w:color w:val="auto"/>
        </w:rPr>
        <w:t>Accident Period Gross Loss Rato</w:t>
      </w:r>
    </w:p>
    <w:p>
      <w:pPr>
        <w:spacing w:after="0" w:line="93" w:lineRule="exact"/>
        <w:rPr>
          <w:sz w:val="20"/>
          <w:szCs w:val="20"/>
          <w:color w:val="auto"/>
        </w:rPr>
      </w:pPr>
    </w:p>
    <w:p>
      <w:pPr>
        <w:ind w:left="100" w:right="140"/>
        <w:spacing w:after="0" w:line="210" w:lineRule="auto"/>
        <w:rPr>
          <w:sz w:val="20"/>
          <w:szCs w:val="20"/>
          <w:color w:val="auto"/>
        </w:rPr>
      </w:pPr>
      <w:r>
        <w:rPr>
          <w:rFonts w:ascii="Calibri" w:cs="Calibri" w:eastAsia="Calibri" w:hAnsi="Calibri"/>
          <w:sz w:val="22"/>
          <w:szCs w:val="22"/>
          <w:color w:val="auto"/>
        </w:rPr>
        <w:t>Gross accident period loss rato, expressed as a percentage, represents all losses and claims expected to arise from insured events that occurred during the applicable period regardless of when they are reported and fnally setled divided by gross premiums earned for the same period. Changes to our loss reserves are the primary driver of the diference between our gross accident period loss rato and gross loss rato. We believe that gross accident period loss rato is useful in evaluatng expected losses before the impact of reinsurance.</w:t>
      </w:r>
    </w:p>
    <w:p>
      <w:pPr>
        <w:spacing w:after="0" w:line="205" w:lineRule="exact"/>
        <w:rPr>
          <w:sz w:val="20"/>
          <w:szCs w:val="20"/>
          <w:color w:val="auto"/>
        </w:rPr>
      </w:pPr>
    </w:p>
    <w:p>
      <w:pPr>
        <w:ind w:left="100"/>
        <w:spacing w:after="0"/>
        <w:rPr>
          <w:sz w:val="20"/>
          <w:szCs w:val="20"/>
          <w:color w:val="auto"/>
        </w:rPr>
      </w:pPr>
      <w:r>
        <w:rPr>
          <w:rFonts w:ascii="Calibri" w:cs="Calibri" w:eastAsia="Calibri" w:hAnsi="Calibri"/>
          <w:sz w:val="22"/>
          <w:szCs w:val="22"/>
          <w:b w:val="1"/>
          <w:bCs w:val="1"/>
          <w:i w:val="1"/>
          <w:iCs w:val="1"/>
          <w:u w:val="single" w:color="auto"/>
          <w:color w:val="auto"/>
        </w:rPr>
        <w:t>Fiscal Year aEBITDA</w:t>
      </w:r>
    </w:p>
    <w:p>
      <w:pPr>
        <w:spacing w:after="0" w:line="80" w:lineRule="exact"/>
        <w:rPr>
          <w:sz w:val="20"/>
          <w:szCs w:val="20"/>
          <w:color w:val="auto"/>
        </w:rPr>
      </w:pPr>
    </w:p>
    <w:p>
      <w:pPr>
        <w:ind w:left="100"/>
        <w:spacing w:after="0" w:line="208" w:lineRule="auto"/>
        <w:rPr>
          <w:sz w:val="20"/>
          <w:szCs w:val="20"/>
          <w:color w:val="auto"/>
        </w:rPr>
      </w:pPr>
      <w:r>
        <w:rPr>
          <w:rFonts w:ascii="Calibri" w:cs="Calibri" w:eastAsia="Calibri" w:hAnsi="Calibri"/>
          <w:sz w:val="22"/>
          <w:szCs w:val="22"/>
          <w:color w:val="auto"/>
        </w:rPr>
        <w:t>We defne adjusted EBITDA, a non-GAAP fnancial measure, as net loss excluding interest expense, income tax expense, depreciaton and amortzaton, share-based compensaton, warrant compensaton expense, restructuring charges, and write-of of prepaid marketng expense and reclassifcatons of certain sales and marketng expenses, and related legal and other fees, net of antcipated insurance recovery. Afer these adjustments, the resultng calculaton represents expenses directly atributable to our operatng performance. We use adjusted EBITDA as an internal performance measure in the management of our operatons because we believe it provides management and other users of our fnancial informaton useful insight into our results of operatons and underlying business performance. Adjusted EBITDA should not be viewed as a substtute for net loss calculated under GAAP, and other companies may defne adjusted EBITDA diferently. Additonally, the Compensaton Commitee has the discreton to modify adjusted EBITDA for purposes of Root's short-term incentve plan for unusual items as they arise and determine the appropriateness of adjustments to adjusted EBITDA.</w:t>
      </w:r>
    </w:p>
    <w:p>
      <w:pPr>
        <w:sectPr>
          <w:pgSz w:w="11900" w:h="16838" w:orient="portrait"/>
          <w:cols w:equalWidth="0" w:num="1">
            <w:col w:w="11340"/>
          </w:cols>
          <w:pgMar w:left="220" w:top="138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Timm, certify that:</w:t>
      </w:r>
    </w:p>
    <w:p>
      <w:pPr>
        <w:spacing w:after="0" w:line="50" w:lineRule="exact"/>
        <w:rPr>
          <w:sz w:val="20"/>
          <w:szCs w:val="20"/>
          <w:color w:val="auto"/>
        </w:rPr>
      </w:pPr>
    </w:p>
    <w:p>
      <w:pPr>
        <w:ind w:left="360" w:hanging="334"/>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49" w:lineRule="exact"/>
        <w:rPr>
          <w:rFonts w:ascii="Times New Roman" w:cs="Times New Roman" w:eastAsia="Times New Roman" w:hAnsi="Times New Roman"/>
          <w:sz w:val="18"/>
          <w:szCs w:val="18"/>
          <w:color w:val="auto"/>
        </w:rPr>
      </w:pPr>
    </w:p>
    <w:p>
      <w:pPr>
        <w:jc w:val="both"/>
        <w:ind w:left="360" w:right="20" w:hanging="334"/>
        <w:spacing w:after="0" w:line="258"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8"/>
          <w:szCs w:val="18"/>
          <w:color w:val="auto"/>
        </w:rPr>
      </w:pPr>
    </w:p>
    <w:p>
      <w:pPr>
        <w:ind w:left="360" w:right="20" w:hanging="334"/>
        <w:spacing w:after="0" w:line="273"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60" w:right="20" w:hanging="334"/>
        <w:spacing w:after="0" w:line="258"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Times New Roman" w:cs="Times New Roman" w:eastAsia="Times New Roman" w:hAnsi="Times New Roman"/>
          <w:sz w:val="18"/>
          <w:szCs w:val="18"/>
          <w:color w:val="auto"/>
        </w:rPr>
      </w:pPr>
    </w:p>
    <w:p>
      <w:pPr>
        <w:ind w:left="360" w:right="20" w:hanging="334"/>
        <w:spacing w:after="0" w:line="273"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40" w:right="20" w:hanging="390"/>
        <w:spacing w:after="0" w:line="282"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69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26035</wp:posOffset>
            </wp:positionV>
            <wp:extent cx="27171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Binkley, certify that:</w:t>
      </w:r>
    </w:p>
    <w:p>
      <w:pPr>
        <w:spacing w:after="0" w:line="117" w:lineRule="exact"/>
        <w:rPr>
          <w:sz w:val="20"/>
          <w:szCs w:val="20"/>
          <w:color w:val="auto"/>
        </w:rPr>
      </w:pPr>
    </w:p>
    <w:p>
      <w:pPr>
        <w:ind w:left="360" w:hanging="334"/>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50" w:lineRule="exact"/>
        <w:rPr>
          <w:sz w:val="20"/>
          <w:szCs w:val="20"/>
          <w:color w:val="auto"/>
        </w:rPr>
      </w:pPr>
    </w:p>
    <w:p>
      <w:pPr>
        <w:jc w:val="both"/>
        <w:ind w:left="360" w:right="20" w:hanging="334"/>
        <w:spacing w:after="0" w:line="258"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sz w:val="20"/>
          <w:szCs w:val="20"/>
          <w:color w:val="auto"/>
        </w:rPr>
      </w:pPr>
    </w:p>
    <w:p>
      <w:pPr>
        <w:ind w:left="360" w:right="20" w:hanging="334"/>
        <w:spacing w:after="0" w:line="266"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sz w:val="20"/>
          <w:szCs w:val="20"/>
          <w:color w:val="auto"/>
        </w:rPr>
      </w:pPr>
    </w:p>
    <w:p>
      <w:pPr>
        <w:jc w:val="both"/>
        <w:ind w:left="360" w:right="20" w:hanging="334"/>
        <w:spacing w:after="0" w:line="258"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sz w:val="20"/>
          <w:szCs w:val="20"/>
          <w:color w:val="auto"/>
        </w:rPr>
      </w:pPr>
    </w:p>
    <w:p>
      <w:pPr>
        <w:ind w:left="360" w:right="20" w:hanging="334"/>
        <w:spacing w:after="0" w:line="266" w:lineRule="auto"/>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72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7"/>
          <w:szCs w:val="17"/>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spacing w:after="0" w:line="257" w:lineRule="exact"/>
        <w:rPr>
          <w:sz w:val="20"/>
          <w:szCs w:val="20"/>
          <w:color w:val="auto"/>
        </w:rPr>
      </w:pPr>
    </w:p>
    <w:p>
      <w:pPr>
        <w:ind w:left="340" w:right="720" w:hanging="125"/>
        <w:spacing w:after="0" w:line="266" w:lineRule="auto"/>
        <w:rPr>
          <w:sz w:val="20"/>
          <w:szCs w:val="20"/>
          <w:color w:val="auto"/>
        </w:rPr>
      </w:pPr>
      <w:r>
        <w:rPr>
          <w:rFonts w:ascii="Times New Roman" w:cs="Times New Roman" w:eastAsia="Times New Roman" w:hAnsi="Times New Roman"/>
          <w:sz w:val="18"/>
          <w:szCs w:val="18"/>
          <w:color w:val="auto"/>
        </w:rPr>
        <w:t>1 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14" w:lineRule="exact"/>
        <w:rPr>
          <w:sz w:val="20"/>
          <w:szCs w:val="20"/>
          <w:color w:val="auto"/>
        </w:rPr>
      </w:pPr>
    </w:p>
    <w:p>
      <w:pPr>
        <w:ind w:left="340" w:right="600" w:hanging="125"/>
        <w:spacing w:after="0" w:line="266" w:lineRule="auto"/>
        <w:rPr>
          <w:sz w:val="20"/>
          <w:szCs w:val="20"/>
          <w:color w:val="auto"/>
        </w:rPr>
      </w:pPr>
      <w:r>
        <w:rPr>
          <w:rFonts w:ascii="Times New Roman" w:cs="Times New Roman" w:eastAsia="Times New Roman" w:hAnsi="Times New Roman"/>
          <w:sz w:val="18"/>
          <w:szCs w:val="18"/>
          <w:color w:val="auto"/>
        </w:rPr>
        <w:t>2 The information contained in the Periodic Report fairly presents, in all material respects, the financial condition and results of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9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631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22631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35"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or after the date of this Quarterly Report on Form 10-Q, irrespective of any general incorporation language contained in any such filing.</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lvl w:ilvl="1">
      <w:lvlJc w:val="left"/>
      <w:lvlText w:val="%2"/>
      <w:numFmt w:val="decimal"/>
      <w:start w:val="104"/>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bullet"/>
      <w:start w:val="1"/>
    </w:lvl>
  </w:abstractNum>
  <w:abstractNum w:abstractNumId="26">
    <w:nsid w:val="836C40E"/>
    <w:multiLevelType w:val="hybridMultilevel"/>
    <w:lvl w:ilvl="0">
      <w:lvlJc w:val="left"/>
      <w:lvlText w:val="2"/>
      <w:numFmt w:val="bullet"/>
      <w:start w:val="1"/>
    </w:lvl>
  </w:abstractNum>
  <w:abstractNum w:abstractNumId="27">
    <w:nsid w:val="2901D82"/>
    <w:multiLevelType w:val="hybridMultilevel"/>
    <w:lvl w:ilvl="0">
      <w:lvlJc w:val="left"/>
      <w:lvlText w:val="3"/>
      <w:numFmt w:val="bullet"/>
      <w:start w:val="1"/>
    </w:lvl>
  </w:abstractNum>
  <w:abstractNum w:abstractNumId="28">
    <w:nsid w:val="3A95F874"/>
    <w:multiLevelType w:val="hybridMultilevel"/>
    <w:lvl w:ilvl="0">
      <w:lvlJc w:val="left"/>
      <w:lvlText w:val="4"/>
      <w:numFmt w:val="bullet"/>
      <w:start w:val="1"/>
    </w:lvl>
    <w:lvl w:ilvl="1">
      <w:lvlJc w:val="left"/>
      <w:lvlText w:val="(%2)"/>
      <w:numFmt w:val="lowerLetter"/>
      <w:start w:val="1"/>
    </w:lvl>
  </w:abstractNum>
  <w:abstractNum w:abstractNumId="29">
    <w:nsid w:val="8138641"/>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jpeg"/><Relationship Id="rId100" Type="http://schemas.openxmlformats.org/officeDocument/2006/relationships/image" Target="media/image85.jpeg"/><Relationship Id="rId101" Type="http://schemas.openxmlformats.org/officeDocument/2006/relationships/image" Target="media/image86.jpe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86" Type="http://schemas.openxmlformats.org/officeDocument/2006/relationships/hyperlink" Target="https://www.sec.gov/Archives/edgar/data/0001788882/000162828020015173/exhibit31-8xkxamendeda.htm" TargetMode="External"/><Relationship Id="rId87" Type="http://schemas.openxmlformats.org/officeDocument/2006/relationships/hyperlink" Target="https://www.sec.gov/Archives/edgar/data/1788882/000178888222000026/a31rootcharteramendment.htm" TargetMode="External"/><Relationship Id="rId88" Type="http://schemas.openxmlformats.org/officeDocument/2006/relationships/hyperlink" Target="https://www.sec.gov/Archives/edgar/data/1788882/000162828023004580/a33amendedandrestatedbylaws.htm" TargetMode="External"/><Relationship Id="rId89" Type="http://schemas.openxmlformats.org/officeDocument/2006/relationships/hyperlink" Target="https://www.sec.gov/Archives/edgar/data/0001788882/000119312521289291/d236036dex31.htm" TargetMode="External"/><Relationship Id="rId90" Type="http://schemas.openxmlformats.org/officeDocument/2006/relationships/hyperlink" Target="https://www.sec.gov/Archives/edgar/data/1788882/000162828020014581/exhibit41-sx1a1xformof.htm" TargetMode="External"/><Relationship Id="rId91" Type="http://schemas.openxmlformats.org/officeDocument/2006/relationships/hyperlink" Target="https://www.sec.gov/Archives/edgar/data/0001788882/000119312521289291/d236036dex41.htm" TargetMode="External"/><Relationship Id="rId92" Type="http://schemas.openxmlformats.org/officeDocument/2006/relationships/hyperlink" Target="https://www.sec.gov/Archives/edgar/data/1788882/000119312522018949/d295910dex41.htm" TargetMode="External"/><Relationship Id="rId93" Type="http://schemas.openxmlformats.org/officeDocument/2006/relationships/hyperlink" Target="https://www.sec.gov/Archives/edgar/data/1788882/000119312522018949/d29591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2024-08-07T15:25:47Z</dcterms:created>
  <dcterms:modified xsi:type="dcterms:W3CDTF">2024-08-07T15:25:47Z</dcterms:modified>
</cp:coreProperties>
</file>