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2" w:lineRule="exact"/>
        <w:rPr>
          <w:sz w:val="24"/>
          <w:szCs w:val="24"/>
          <w:color w:val="auto"/>
        </w:rPr>
      </w:pPr>
    </w:p>
    <w:p>
      <w:pPr>
        <w:jc w:val="center"/>
        <w:ind w:left="3860" w:right="1420" w:hanging="2447"/>
        <w:spacing w:after="0" w:line="260" w:lineRule="auto"/>
        <w:tabs>
          <w:tab w:leader="none" w:pos="161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 w:lineRule="exact"/>
        <w:rPr>
          <w:sz w:val="24"/>
          <w:szCs w:val="24"/>
          <w:color w:val="auto"/>
        </w:rPr>
      </w:pPr>
    </w:p>
    <w:p>
      <w:pPr>
        <w:jc w:val="center"/>
        <w:ind w:left="3540" w:right="1420" w:hanging="2133"/>
        <w:spacing w:after="0" w:line="582" w:lineRule="auto"/>
        <w:tabs>
          <w:tab w:leader="none" w:pos="159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001-39658</w:t>
      </w: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ROOT, INC.</w:t>
      </w:r>
    </w:p>
    <w:p>
      <w:pPr>
        <w:sectPr>
          <w:pgSz w:w="11900" w:h="16838" w:orient="portrait"/>
          <w:cols w:equalWidth="0" w:num="1">
            <w:col w:w="11260"/>
          </w:cols>
          <w:pgMar w:left="320" w:top="1156" w:right="319" w:bottom="1440" w:gutter="0" w:footer="0" w:header="0"/>
        </w:sectPr>
      </w:pPr>
    </w:p>
    <w:p>
      <w:pPr>
        <w:spacing w:after="0" w:line="42" w:lineRule="exact"/>
        <w:rPr>
          <w:sz w:val="24"/>
          <w:szCs w:val="24"/>
          <w:color w:val="auto"/>
        </w:rPr>
      </w:pPr>
    </w:p>
    <w:p>
      <w:pPr>
        <w:ind w:left="382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67945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3"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Delaware</w:t>
      </w:r>
    </w:p>
    <w:p>
      <w:pPr>
        <w:spacing w:after="0" w:line="69" w:lineRule="exact"/>
        <w:rPr>
          <w:sz w:val="24"/>
          <w:szCs w:val="24"/>
          <w:color w:val="auto"/>
        </w:rPr>
      </w:pPr>
    </w:p>
    <w:p>
      <w:pPr>
        <w:ind w:left="980"/>
        <w:spacing w:after="0"/>
        <w:rPr>
          <w:sz w:val="20"/>
          <w:szCs w:val="20"/>
          <w:color w:val="auto"/>
        </w:rPr>
      </w:pPr>
      <w:r>
        <w:rPr>
          <w:rFonts w:ascii="Arial" w:cs="Arial" w:eastAsia="Arial" w:hAnsi="Arial"/>
          <w:sz w:val="14"/>
          <w:szCs w:val="14"/>
          <w:b w:val="1"/>
          <w:bCs w:val="1"/>
          <w:color w:val="auto"/>
        </w:rPr>
        <w:t>(State or other jurisdiction of</w:t>
      </w:r>
    </w:p>
    <w:p>
      <w:pPr>
        <w:spacing w:after="0" w:line="25" w:lineRule="exact"/>
        <w:rPr>
          <w:sz w:val="24"/>
          <w:szCs w:val="24"/>
          <w:color w:val="auto"/>
        </w:rPr>
      </w:pPr>
    </w:p>
    <w:p>
      <w:pPr>
        <w:ind w:left="940"/>
        <w:spacing w:after="0"/>
        <w:rPr>
          <w:sz w:val="20"/>
          <w:szCs w:val="20"/>
          <w:color w:val="auto"/>
        </w:rPr>
      </w:pPr>
      <w:r>
        <w:rPr>
          <w:rFonts w:ascii="Arial" w:cs="Arial" w:eastAsia="Arial" w:hAnsi="Arial"/>
          <w:sz w:val="14"/>
          <w:szCs w:val="14"/>
          <w:b w:val="1"/>
          <w:bCs w:val="1"/>
          <w:color w:val="auto"/>
        </w:rPr>
        <w:t>incorporation or organization)</w:t>
      </w:r>
    </w:p>
    <w:p>
      <w:pPr>
        <w:spacing w:after="0" w:line="58"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80 E. Rich Street, Suite 500</w:t>
      </w:r>
    </w:p>
    <w:p>
      <w:pPr>
        <w:spacing w:after="0" w:line="2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Columbus, Ohio</w:t>
      </w:r>
    </w:p>
    <w:p>
      <w:pPr>
        <w:spacing w:after="0" w:line="58"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40" w:lineRule="exact"/>
        <w:rPr>
          <w:sz w:val="24"/>
          <w:szCs w:val="24"/>
          <w:color w:val="auto"/>
        </w:rPr>
      </w:pPr>
    </w:p>
    <w:p>
      <w:pPr>
        <w:jc w:val="center"/>
        <w:ind w:left="3320"/>
        <w:spacing w:after="0"/>
        <w:rPr>
          <w:sz w:val="20"/>
          <w:szCs w:val="20"/>
          <w:color w:val="auto"/>
        </w:rPr>
      </w:pPr>
      <w:r>
        <w:rPr>
          <w:rFonts w:ascii="Arial" w:cs="Arial" w:eastAsia="Arial" w:hAnsi="Arial"/>
          <w:sz w:val="18"/>
          <w:szCs w:val="18"/>
          <w:b w:val="1"/>
          <w:bCs w:val="1"/>
          <w:color w:val="auto"/>
        </w:rPr>
        <w:t>(866) 980-9431</w:t>
      </w:r>
    </w:p>
    <w:p>
      <w:pPr>
        <w:spacing w:after="0" w:line="27" w:lineRule="exact"/>
        <w:rPr>
          <w:sz w:val="24"/>
          <w:szCs w:val="24"/>
          <w:color w:val="auto"/>
        </w:rPr>
      </w:pPr>
    </w:p>
    <w:p>
      <w:pPr>
        <w:jc w:val="center"/>
        <w:ind w:left="33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84-2717903</w:t>
      </w:r>
    </w:p>
    <w:p>
      <w:pPr>
        <w:spacing w:after="0" w:line="6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180"/>
        <w:spacing w:after="0"/>
        <w:rPr>
          <w:sz w:val="20"/>
          <w:szCs w:val="20"/>
          <w:color w:val="auto"/>
        </w:rPr>
      </w:pPr>
      <w:r>
        <w:rPr>
          <w:rFonts w:ascii="Arial" w:cs="Arial" w:eastAsia="Arial" w:hAnsi="Arial"/>
          <w:sz w:val="13"/>
          <w:szCs w:val="13"/>
          <w:b w:val="1"/>
          <w:bCs w:val="1"/>
          <w:color w:val="auto"/>
        </w:rPr>
        <w:t>Identification Number)</w:t>
      </w:r>
    </w:p>
    <w:p>
      <w:pPr>
        <w:spacing w:after="0" w:line="150" w:lineRule="exact"/>
        <w:rPr>
          <w:sz w:val="24"/>
          <w:szCs w:val="24"/>
          <w:color w:val="auto"/>
        </w:rPr>
      </w:pPr>
    </w:p>
    <w:p>
      <w:pPr>
        <w:jc w:val="center"/>
        <w:ind w:right="1180"/>
        <w:spacing w:after="0"/>
        <w:rPr>
          <w:sz w:val="20"/>
          <w:szCs w:val="20"/>
          <w:color w:val="auto"/>
        </w:rPr>
      </w:pPr>
      <w:r>
        <w:rPr>
          <w:rFonts w:ascii="Arial" w:cs="Arial" w:eastAsia="Arial" w:hAnsi="Arial"/>
          <w:sz w:val="14"/>
          <w:szCs w:val="14"/>
          <w:b w:val="1"/>
          <w:bCs w:val="1"/>
          <w:color w:val="auto"/>
        </w:rPr>
        <w:t>43215</w:t>
      </w:r>
    </w:p>
    <w:p>
      <w:pPr>
        <w:spacing w:after="0" w:line="163"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(Zip Code)</w:t>
      </w:r>
    </w:p>
    <w:p>
      <w:pPr>
        <w:spacing w:after="0" w:line="734" w:lineRule="exact"/>
        <w:rPr>
          <w:sz w:val="24"/>
          <w:szCs w:val="24"/>
          <w:color w:val="auto"/>
        </w:rPr>
      </w:pPr>
    </w:p>
    <w:p>
      <w:pPr>
        <w:sectPr>
          <w:pgSz w:w="11900" w:h="16838" w:orient="portrait"/>
          <w:cols w:equalWidth="0" w:num="2">
            <w:col w:w="7940" w:space="720"/>
            <w:col w:w="2600"/>
          </w:cols>
          <w:pgMar w:left="320" w:top="1156"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57150</wp:posOffset>
            </wp:positionV>
            <wp:extent cx="1466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39"/>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17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ROOT</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$0.0001 par value per share</w:t>
            </w: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r>
      <w:tr>
        <w:trPr>
          <w:trHeight w:val="39"/>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bl>
    <w:p>
      <w:pPr>
        <w:spacing w:after="0" w:line="12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9"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9" w:lineRule="exact"/>
        <w:rPr>
          <w:sz w:val="24"/>
          <w:szCs w:val="24"/>
          <w:color w:val="auto"/>
        </w:r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34" w:lineRule="exact"/>
        <w:rPr>
          <w:sz w:val="24"/>
          <w:szCs w:val="24"/>
          <w:color w:val="auto"/>
        </w:rPr>
      </w:pPr>
    </w:p>
    <w:p>
      <w:pPr>
        <w:ind w:right="6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As of November 2, 2022, the number of outstanding shares of the registrant’s Class A common stock, par value $0.0001 per share, was 9.1 million and the number of outstanding shares of the registrant’s Class B common stock, par value $0.0001 per share, was 5.0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6" w:right="31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1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360" w:type="dxa"/>
            <w:vAlign w:val="bottom"/>
            <w:gridSpan w:val="23"/>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8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60" w:type="dxa"/>
            <w:vAlign w:val="bottom"/>
            <w:gridSpan w:val="23"/>
            <w:vMerge w:val="continue"/>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4"/>
              </w:rPr>
              <w:t>Part I. Financial Information</w:t>
            </w:r>
          </w:p>
        </w:tc>
        <w:tc>
          <w:tcPr>
            <w:tcW w:w="3560" w:type="dxa"/>
            <w:vAlign w:val="bottom"/>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80" w:type="dxa"/>
            <w:vAlign w:val="bottom"/>
            <w:gridSpan w:val="2"/>
          </w:tcPr>
          <w:p>
            <w:pPr>
              <w:spacing w:after="0"/>
              <w:rPr>
                <w:sz w:val="18"/>
                <w:szCs w:val="18"/>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 Unaudited</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99"/>
              </w:rPr>
              <w:t>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 Unaudited</w:t>
            </w:r>
          </w:p>
        </w:tc>
        <w:tc>
          <w:tcPr>
            <w:tcW w:w="294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w w:val="98"/>
              </w:rPr>
              <w:t>Condensed Consolidated Statements of Redeemable Convertible Preferred Stock and Stockholders’ Equity - Unaudited</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99"/>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Condensed Consolidated Statements of Cash Flows - Unaudited</w:t>
            </w:r>
          </w:p>
        </w:tc>
        <w:tc>
          <w:tcPr>
            <w:tcW w:w="7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 - Unaudited</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99"/>
              </w:rPr>
              <w:t>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480" w:type="dxa"/>
            <w:vAlign w:val="bottom"/>
            <w:gridSpan w:val="2"/>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80" w:type="dxa"/>
            <w:vAlign w:val="bottom"/>
            <w:gridSpan w:val="2"/>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00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80" w:type="dxa"/>
            <w:vAlign w:val="bottom"/>
            <w:gridSpan w:val="2"/>
          </w:tcPr>
          <w:p>
            <w:pPr>
              <w:spacing w:after="0"/>
              <w:rPr>
                <w:sz w:val="18"/>
                <w:szCs w:val="18"/>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89"/>
              </w:rPr>
              <w:t>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b w:val="1"/>
                <w:bCs w:val="1"/>
                <w:color w:val="0000FF"/>
              </w:rPr>
              <w:t>Part II. Other Information</w:t>
            </w:r>
          </w:p>
        </w:tc>
        <w:tc>
          <w:tcPr>
            <w:tcW w:w="3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360" w:type="dxa"/>
            <w:vAlign w:val="bottom"/>
          </w:tcPr>
          <w:p>
            <w:pPr>
              <w:spacing w:after="0"/>
              <w:rPr>
                <w:sz w:val="18"/>
                <w:szCs w:val="18"/>
                <w:color w:val="auto"/>
              </w:rPr>
            </w:pPr>
          </w:p>
        </w:tc>
        <w:tc>
          <w:tcPr>
            <w:tcW w:w="364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060" w:type="dxa"/>
            <w:vAlign w:val="bottom"/>
            <w:tcBorders>
              <w:top w:val="single" w:sz="8" w:color="0000FF"/>
            </w:tcBorders>
            <w:gridSpan w:val="6"/>
          </w:tcPr>
          <w:p>
            <w:pPr>
              <w:spacing w:after="0"/>
              <w:rPr>
                <w:sz w:val="18"/>
                <w:szCs w:val="18"/>
                <w:color w:val="auto"/>
              </w:rPr>
            </w:pPr>
          </w:p>
        </w:tc>
        <w:tc>
          <w:tcPr>
            <w:tcW w:w="366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3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89"/>
              </w:rPr>
              <w:t>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02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80" w:type="dxa"/>
            <w:vAlign w:val="bottom"/>
            <w:gridSpan w:val="2"/>
          </w:tcPr>
          <w:p>
            <w:pPr>
              <w:spacing w:after="0"/>
              <w:rPr>
                <w:sz w:val="18"/>
                <w:szCs w:val="18"/>
                <w:color w:val="auto"/>
              </w:rPr>
            </w:pPr>
          </w:p>
        </w:tc>
        <w:tc>
          <w:tcPr>
            <w:tcW w:w="2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Defaults Upon Senior Securities</w:t>
            </w:r>
          </w:p>
        </w:tc>
        <w:tc>
          <w:tcPr>
            <w:tcW w:w="7040" w:type="dxa"/>
            <w:vAlign w:val="bottom"/>
            <w:gridSpan w:val="14"/>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36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89"/>
              </w:rPr>
              <w:t>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480" w:type="dxa"/>
            <w:vAlign w:val="bottom"/>
            <w:tcBorders>
              <w:top w:val="single" w:sz="8" w:color="0000FF"/>
            </w:tcBorders>
            <w:gridSpan w:val="2"/>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Other Information</w:t>
            </w:r>
          </w:p>
        </w:tc>
        <w:tc>
          <w:tcPr>
            <w:tcW w:w="7600" w:type="dxa"/>
            <w:vAlign w:val="bottom"/>
            <w:gridSpan w:val="15"/>
          </w:tcPr>
          <w:p>
            <w:pPr>
              <w:spacing w:after="0"/>
              <w:rPr>
                <w:sz w:val="18"/>
                <w:szCs w:val="18"/>
                <w:color w:val="auto"/>
              </w:rPr>
            </w:pP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89"/>
              </w:rPr>
              <w:t>51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480" w:type="dxa"/>
            <w:vAlign w:val="bottom"/>
            <w:gridSpan w:val="2"/>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tcBorders>
              <w:top w:val="single" w:sz="8" w:color="0000FF"/>
            </w:tcBorders>
            <w:gridSpan w:val="3"/>
          </w:tcPr>
          <w:p>
            <w:pPr>
              <w:spacing w:after="0"/>
              <w:rPr>
                <w:sz w:val="18"/>
                <w:szCs w:val="18"/>
                <w:color w:val="auto"/>
              </w:rPr>
            </w:pPr>
          </w:p>
        </w:tc>
        <w:tc>
          <w:tcPr>
            <w:tcW w:w="8040" w:type="dxa"/>
            <w:vAlign w:val="bottom"/>
            <w:gridSpan w:val="16"/>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520" w:type="dxa"/>
            <w:vAlign w:val="bottom"/>
            <w:gridSpan w:val="4"/>
          </w:tcPr>
          <w:p>
            <w:pPr>
              <w:jc w:val="center"/>
              <w:ind w:left="250"/>
              <w:spacing w:after="0"/>
              <w:rPr>
                <w:sz w:val="20"/>
                <w:szCs w:val="20"/>
                <w:color w:val="auto"/>
              </w:rPr>
            </w:pPr>
            <w:r>
              <w:rPr>
                <w:rFonts w:ascii="Arial" w:cs="Arial" w:eastAsia="Arial" w:hAnsi="Arial"/>
                <w:sz w:val="18"/>
                <w:szCs w:val="18"/>
                <w:color w:val="0000FF"/>
                <w:w w:val="89"/>
              </w:rPr>
              <w:t>54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07"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71" w:lineRule="exact"/>
        <w:rPr>
          <w:rFonts w:ascii="Arial" w:cs="Arial" w:eastAsia="Arial" w:hAnsi="Arial"/>
          <w:sz w:val="18"/>
          <w:szCs w:val="18"/>
          <w:color w:val="auto"/>
        </w:rPr>
      </w:pPr>
    </w:p>
    <w:p>
      <w:pPr>
        <w:ind w:left="660" w:right="240" w:hanging="328"/>
        <w:spacing w:after="0" w:line="263"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net income/(loss), adjusted gross profit/(loss), direct contribution, adjusted EBITDA, gross loss ratio, marketing costs, gross loss adjustment expense, or LAE, ratio, quota share levels and expansion of our renewal premium base;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realize profits, retain customers, contract with additional partners to utilize the product, or achieve other benefits from our embedded insurance offering;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reduce customer acquisition costs and realize other expected benefits related to the partnership with Carvana Group, LLC, or Carvana;</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supply chain disruptions, increasing inflation, a recession and/or disruptions to properly functioning financial and capital markets and interest rates on our business and financial condition;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reduce operating losses and extend our capital runway;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efficiently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144"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governmental responses thereto on our business and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 or hire personnel, and to offer competitive compensation and benefits;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anticipated from our Texas county mutual fronting arrangement;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continue to meet Nasdaq listing standards;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As of</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39"/>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140"/>
              <w:spacing w:after="0"/>
              <w:rPr>
                <w:sz w:val="20"/>
                <w:szCs w:val="20"/>
                <w:color w:val="auto"/>
              </w:rPr>
            </w:pPr>
            <w:r>
              <w:rPr>
                <w:rFonts w:ascii="Arial" w:cs="Arial" w:eastAsia="Arial" w:hAnsi="Arial"/>
                <w:sz w:val="17"/>
                <w:szCs w:val="17"/>
                <w:color w:val="auto"/>
              </w:rPr>
              <w:t>Investments: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160" w:type="dxa"/>
            <w:vAlign w:val="bottom"/>
            <w:shd w:val="clear" w:color="auto" w:fill="CCEEFF"/>
          </w:tcPr>
          <w:p>
            <w:pPr>
              <w:ind w:left="240"/>
              <w:spacing w:after="0" w:line="178" w:lineRule="exact"/>
              <w:rPr>
                <w:sz w:val="20"/>
                <w:szCs w:val="20"/>
                <w:color w:val="auto"/>
              </w:rPr>
            </w:pPr>
            <w:r>
              <w:rPr>
                <w:rFonts w:ascii="Arial" w:cs="Arial" w:eastAsia="Arial" w:hAnsi="Arial"/>
                <w:sz w:val="17"/>
                <w:szCs w:val="17"/>
                <w:color w:val="auto"/>
                <w:w w:val="94"/>
              </w:rPr>
              <w:t>Fixed maturities available-for-sale, at fair value (amortized cost: $126.6 and $129.5 at September 30, 2022 and</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2021, respectively)</w:t>
            </w:r>
          </w:p>
        </w:tc>
        <w:tc>
          <w:tcPr>
            <w:tcW w:w="2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160" w:type="dxa"/>
            <w:vAlign w:val="bottom"/>
          </w:tcPr>
          <w:p>
            <w:pPr>
              <w:ind w:left="240"/>
              <w:spacing w:after="0" w:line="172" w:lineRule="exact"/>
              <w:rPr>
                <w:sz w:val="20"/>
                <w:szCs w:val="20"/>
                <w:color w:val="auto"/>
              </w:rPr>
            </w:pPr>
            <w:r>
              <w:rPr>
                <w:rFonts w:ascii="Arial" w:cs="Arial" w:eastAsia="Arial" w:hAnsi="Arial"/>
                <w:sz w:val="17"/>
                <w:szCs w:val="17"/>
                <w:color w:val="auto"/>
              </w:rPr>
              <w:t>Short-term investments (amortized cost: $0.4 and zero at September 30, 2022 and December 31, 2021,</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160" w:type="dxa"/>
            <w:vAlign w:val="bottom"/>
          </w:tcPr>
          <w:p>
            <w:pPr>
              <w:ind w:left="400"/>
              <w:spacing w:after="0"/>
              <w:rPr>
                <w:sz w:val="20"/>
                <w:szCs w:val="20"/>
                <w:color w:val="auto"/>
              </w:rPr>
            </w:pPr>
            <w:r>
              <w:rPr>
                <w:rFonts w:ascii="Arial" w:cs="Arial" w:eastAsia="Arial" w:hAnsi="Arial"/>
                <w:sz w:val="17"/>
                <w:szCs w:val="17"/>
                <w:color w:val="auto"/>
              </w:rPr>
              <w:t>respectively)</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7"/>
                <w:szCs w:val="17"/>
                <w:color w:val="auto"/>
              </w:rPr>
              <w:t>Total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w:t>
            </w:r>
          </w:p>
        </w:tc>
        <w:tc>
          <w:tcPr>
            <w:tcW w:w="0" w:type="dxa"/>
            <w:vAlign w:val="bottom"/>
          </w:tcPr>
          <w:p>
            <w:pPr>
              <w:spacing w:after="0"/>
              <w:rPr>
                <w:sz w:val="1"/>
                <w:szCs w:val="1"/>
                <w:color w:val="auto"/>
              </w:rPr>
            </w:pPr>
          </w:p>
        </w:tc>
      </w:tr>
      <w:tr>
        <w:trPr>
          <w:trHeight w:val="223"/>
        </w:trPr>
        <w:tc>
          <w:tcPr>
            <w:tcW w:w="81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0"/>
              </w:rPr>
              <w:t>Premiums receivable, net of allowance of $3.3 and $5.4 at September 30, 2022 and December 31, 2021, respectively</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171"/>
        </w:trPr>
        <w:tc>
          <w:tcPr>
            <w:tcW w:w="8160" w:type="dxa"/>
            <w:vAlign w:val="bottom"/>
          </w:tcPr>
          <w:p>
            <w:pPr>
              <w:ind w:left="140"/>
              <w:spacing w:after="0" w:line="172" w:lineRule="exact"/>
              <w:rPr>
                <w:sz w:val="20"/>
                <w:szCs w:val="20"/>
                <w:color w:val="auto"/>
              </w:rPr>
            </w:pPr>
            <w:r>
              <w:rPr>
                <w:rFonts w:ascii="Arial" w:cs="Arial" w:eastAsia="Arial" w:hAnsi="Arial"/>
                <w:sz w:val="17"/>
                <w:szCs w:val="17"/>
                <w:color w:val="auto"/>
                <w:w w:val="90"/>
              </w:rPr>
              <w:t>Reinsurance recoverable and receivable, net of allowance of $0.1 and $0.2 at September 30, 2022 and December 31,</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136.0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18"/>
        </w:trPr>
        <w:tc>
          <w:tcPr>
            <w:tcW w:w="8160" w:type="dxa"/>
            <w:vAlign w:val="bottom"/>
          </w:tcPr>
          <w:p>
            <w:pPr>
              <w:ind w:left="300"/>
              <w:spacing w:after="0"/>
              <w:rPr>
                <w:sz w:val="20"/>
                <w:szCs w:val="20"/>
                <w:color w:val="auto"/>
              </w:rPr>
            </w:pPr>
            <w:r>
              <w:rPr>
                <w:rFonts w:ascii="Arial" w:cs="Arial" w:eastAsia="Arial" w:hAnsi="Arial"/>
                <w:sz w:val="17"/>
                <w:szCs w:val="17"/>
                <w:color w:val="auto"/>
              </w:rPr>
              <w:t>2021, respectively</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reinsurance premiums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54"/>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294.2</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23"/>
        </w:trPr>
        <w:tc>
          <w:tcPr>
            <w:tcW w:w="8160" w:type="dxa"/>
            <w:vAlign w:val="bottom"/>
          </w:tcPr>
          <w:p>
            <w:pPr>
              <w:ind w:left="140"/>
              <w:spacing w:after="0"/>
              <w:rPr>
                <w:sz w:val="20"/>
                <w:szCs w:val="20"/>
                <w:color w:val="auto"/>
              </w:rPr>
            </w:pPr>
            <w:r>
              <w:rPr>
                <w:rFonts w:ascii="Arial" w:cs="Arial" w:eastAsia="Arial" w:hAnsi="Arial"/>
                <w:sz w:val="17"/>
                <w:szCs w:val="17"/>
                <w:color w:val="auto"/>
              </w:rPr>
              <w:t>Long-term debt and warrants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premiums payable</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223"/>
        </w:trPr>
        <w:tc>
          <w:tcPr>
            <w:tcW w:w="8160" w:type="dxa"/>
            <w:vAlign w:val="bottom"/>
          </w:tcPr>
          <w:p>
            <w:pPr>
              <w:ind w:left="14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16"/>
        </w:trPr>
        <w:tc>
          <w:tcPr>
            <w:tcW w:w="8160" w:type="dxa"/>
            <w:vAlign w:val="bottom"/>
          </w:tcPr>
          <w:p>
            <w:pPr>
              <w:ind w:left="240"/>
              <w:spacing w:after="0"/>
              <w:rPr>
                <w:sz w:val="20"/>
                <w:szCs w:val="20"/>
                <w:color w:val="auto"/>
              </w:rPr>
            </w:pPr>
            <w:r>
              <w:rPr>
                <w:rFonts w:ascii="Arial" w:cs="Arial" w:eastAsia="Arial" w:hAnsi="Arial"/>
                <w:sz w:val="17"/>
                <w:szCs w:val="17"/>
                <w:color w:val="auto"/>
              </w:rPr>
              <w:t>Total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670.9</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11)</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8160" w:type="dxa"/>
            <w:vAlign w:val="bottom"/>
          </w:tcPr>
          <w:p>
            <w:pPr>
              <w:ind w:left="20"/>
              <w:spacing w:after="0" w:line="172" w:lineRule="exact"/>
              <w:rPr>
                <w:sz w:val="20"/>
                <w:szCs w:val="20"/>
                <w:color w:val="auto"/>
              </w:rPr>
            </w:pPr>
            <w:r>
              <w:rPr>
                <w:rFonts w:ascii="Arial" w:cs="Arial" w:eastAsia="Arial" w:hAnsi="Arial"/>
                <w:sz w:val="17"/>
                <w:szCs w:val="17"/>
                <w:color w:val="auto"/>
                <w:w w:val="98"/>
              </w:rPr>
              <w:t>Redeemable convertible preferred stock, $0.0001 par value, 100.0 shares authorized, 14.1 shares issued and</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18"/>
        </w:trPr>
        <w:tc>
          <w:tcPr>
            <w:tcW w:w="8160" w:type="dxa"/>
            <w:vAlign w:val="bottom"/>
          </w:tcPr>
          <w:p>
            <w:pPr>
              <w:ind w:left="180"/>
              <w:spacing w:after="0"/>
              <w:rPr>
                <w:sz w:val="20"/>
                <w:szCs w:val="20"/>
                <w:color w:val="auto"/>
              </w:rPr>
            </w:pPr>
            <w:r>
              <w:rPr>
                <w:rFonts w:ascii="Arial" w:cs="Arial" w:eastAsia="Arial" w:hAnsi="Arial"/>
                <w:sz w:val="17"/>
                <w:szCs w:val="17"/>
                <w:color w:val="auto"/>
              </w:rPr>
              <w:t>outstanding at September 30, 2022 and December 31, 2021 (liquidation preference of $126.5)</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8160" w:type="dxa"/>
            <w:vAlign w:val="bottom"/>
          </w:tcPr>
          <w:p>
            <w:pPr>
              <w:ind w:left="140"/>
              <w:spacing w:after="0" w:line="163" w:lineRule="exact"/>
              <w:rPr>
                <w:sz w:val="20"/>
                <w:szCs w:val="20"/>
                <w:color w:val="auto"/>
              </w:rPr>
            </w:pPr>
            <w:r>
              <w:rPr>
                <w:rFonts w:ascii="Arial" w:cs="Arial" w:eastAsia="Arial" w:hAnsi="Arial"/>
                <w:sz w:val="17"/>
                <w:szCs w:val="17"/>
                <w:color w:val="auto"/>
                <w:w w:val="91"/>
              </w:rPr>
              <w:t>Class A common stock, $0.0001 par value, 1,000.0 shares authorized, 9.1 and 7.9 shares issued and outstanding at</w:t>
            </w:r>
          </w:p>
        </w:tc>
        <w:tc>
          <w:tcPr>
            <w:tcW w:w="20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8160" w:type="dxa"/>
            <w:vAlign w:val="bottom"/>
          </w:tcPr>
          <w:p>
            <w:pPr>
              <w:ind w:left="300"/>
              <w:spacing w:after="0" w:line="228" w:lineRule="exact"/>
              <w:rPr>
                <w:sz w:val="20"/>
                <w:szCs w:val="20"/>
                <w:color w:val="auto"/>
              </w:rPr>
            </w:pPr>
            <w:r>
              <w:rPr>
                <w:rFonts w:ascii="Arial" w:cs="Arial" w:eastAsia="Arial" w:hAnsi="Arial"/>
                <w:sz w:val="17"/>
                <w:szCs w:val="17"/>
                <w:color w:val="auto"/>
              </w:rPr>
              <w:t>September 30, 2022 and December 31, 2021, respectively</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160" w:type="dxa"/>
            <w:vAlign w:val="bottom"/>
            <w:shd w:val="clear" w:color="auto" w:fill="CCEEFF"/>
          </w:tcPr>
          <w:p>
            <w:pPr>
              <w:ind w:left="140"/>
              <w:spacing w:after="0" w:line="163" w:lineRule="exact"/>
              <w:rPr>
                <w:sz w:val="20"/>
                <w:szCs w:val="20"/>
                <w:color w:val="auto"/>
              </w:rPr>
            </w:pPr>
            <w:r>
              <w:rPr>
                <w:rFonts w:ascii="Arial" w:cs="Arial" w:eastAsia="Arial" w:hAnsi="Arial"/>
                <w:sz w:val="17"/>
                <w:szCs w:val="17"/>
                <w:color w:val="auto"/>
                <w:w w:val="93"/>
              </w:rPr>
              <w:t>Class B common stock, $0.0001 par value, 269.0 shares authorized, 5.0 and 6.1 shares issued and outstanding at</w:t>
            </w:r>
          </w:p>
        </w:tc>
        <w:tc>
          <w:tcPr>
            <w:tcW w:w="2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300"/>
              <w:spacing w:after="0" w:line="228" w:lineRule="exact"/>
              <w:rPr>
                <w:sz w:val="20"/>
                <w:szCs w:val="20"/>
                <w:color w:val="auto"/>
              </w:rPr>
            </w:pPr>
            <w:r>
              <w:rPr>
                <w:rFonts w:ascii="Arial" w:cs="Arial" w:eastAsia="Arial" w:hAnsi="Arial"/>
                <w:sz w:val="17"/>
                <w:szCs w:val="17"/>
                <w:color w:val="auto"/>
              </w:rPr>
              <w:t>September 30, 2022 and December 31, 2021, respectively</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1,806.1</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 income</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loss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0" w:type="dxa"/>
            <w:vAlign w:val="bottom"/>
          </w:tcPr>
          <w:p>
            <w:pPr>
              <w:spacing w:after="0"/>
              <w:rPr>
                <w:sz w:val="1"/>
                <w:szCs w:val="1"/>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7"/>
                <w:szCs w:val="17"/>
                <w:color w:val="auto"/>
              </w:rPr>
              <w:t>Total liabilities, redeemable convertible preferred stock and stockholders’ equity</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76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800" w:type="dxa"/>
            <w:vAlign w:val="bottom"/>
          </w:tcPr>
          <w:p>
            <w:pPr>
              <w:jc w:val="right"/>
              <w:ind w:right="597"/>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Other insurance expense (benefit)</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(64.0)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net unrealized losses on investments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Loss per common share: basic and diluted (both Class A and B)</w:t>
            </w:r>
            <w:r>
              <w:rPr>
                <w:rFonts w:ascii="Arial" w:cs="Arial" w:eastAsia="Arial" w:hAnsi="Arial"/>
                <w:sz w:val="23"/>
                <w:szCs w:val="23"/>
                <w:color w:val="auto"/>
                <w:vertAlign w:val="superscript"/>
              </w:rPr>
              <w:t>(1)</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800" w:type="dxa"/>
            <w:vAlign w:val="bottom"/>
          </w:tcPr>
          <w:p>
            <w:pPr>
              <w:jc w:val="right"/>
              <w:ind w:right="597"/>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93"/>
              </w:rPr>
              <w:t>(4.54)</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(9.57)</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(16.45)</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and B)</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ROOT, INC. AND SUBSIDIARIES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6"/>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7"/>
            <w:vMerge w:val="restart"/>
          </w:tcPr>
          <w:p>
            <w:pPr>
              <w:jc w:val="center"/>
              <w:ind w:right="100"/>
              <w:spacing w:after="0"/>
              <w:rPr>
                <w:sz w:val="20"/>
                <w:szCs w:val="20"/>
                <w:color w:val="auto"/>
              </w:rPr>
            </w:pPr>
            <w:r>
              <w:rPr>
                <w:rFonts w:ascii="Arial" w:cs="Arial" w:eastAsia="Arial" w:hAnsi="Arial"/>
                <w:sz w:val="13"/>
                <w:szCs w:val="13"/>
                <w:b w:val="1"/>
                <w:bCs w:val="1"/>
                <w:color w:val="auto"/>
                <w:w w:val="86"/>
              </w:rPr>
              <w:t>Class A and Class B Common</w:t>
            </w: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36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Convertible Preferred</w:t>
            </w:r>
          </w:p>
        </w:tc>
        <w:tc>
          <w:tcPr>
            <w:tcW w:w="60" w:type="dxa"/>
            <w:vAlign w:val="bottom"/>
          </w:tcPr>
          <w:p>
            <w:pPr>
              <w:spacing w:after="0"/>
              <w:rPr>
                <w:sz w:val="10"/>
                <w:szCs w:val="10"/>
                <w:color w:val="auto"/>
              </w:rPr>
            </w:pPr>
          </w:p>
        </w:tc>
        <w:tc>
          <w:tcPr>
            <w:tcW w:w="2060" w:type="dxa"/>
            <w:vAlign w:val="bottom"/>
            <w:gridSpan w:val="7"/>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40" w:type="dxa"/>
            <w:vAlign w:val="bottom"/>
            <w:gridSpan w:val="3"/>
          </w:tcPr>
          <w:p>
            <w:pPr>
              <w:jc w:val="center"/>
              <w:ind w:left="350"/>
              <w:spacing w:after="0" w:line="135" w:lineRule="exact"/>
              <w:rPr>
                <w:sz w:val="20"/>
                <w:szCs w:val="20"/>
                <w:color w:val="auto"/>
              </w:rPr>
            </w:pPr>
            <w:r>
              <w:rPr>
                <w:rFonts w:ascii="Arial" w:cs="Arial" w:eastAsia="Arial" w:hAnsi="Arial"/>
                <w:sz w:val="13"/>
                <w:szCs w:val="13"/>
                <w:b w:val="1"/>
                <w:bCs w:val="1"/>
                <w:color w:val="auto"/>
                <w:w w:val="84"/>
              </w:rPr>
              <w:t>Stock</w:t>
            </w: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8"/>
              </w:rPr>
              <w:t>Stock</w:t>
            </w:r>
            <w:r>
              <w:rPr>
                <w:rFonts w:ascii="Arial" w:cs="Arial" w:eastAsia="Arial" w:hAnsi="Arial"/>
                <w:sz w:val="15"/>
                <w:szCs w:val="15"/>
                <w:b w:val="1"/>
                <w:bCs w:val="1"/>
                <w:color w:val="auto"/>
                <w:w w:val="88"/>
                <w:vertAlign w:val="superscript"/>
              </w:rPr>
              <w:t>(1)</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87"/>
              </w:rPr>
              <w:t>Treasury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jc w:val="center"/>
              <w:ind w:right="180"/>
              <w:spacing w:after="0" w:line="48" w:lineRule="exact"/>
              <w:rPr>
                <w:sz w:val="20"/>
                <w:szCs w:val="20"/>
                <w:color w:val="auto"/>
              </w:rPr>
            </w:pPr>
            <w:r>
              <w:rPr>
                <w:rFonts w:ascii="Arial" w:cs="Arial" w:eastAsia="Arial" w:hAnsi="Arial"/>
                <w:sz w:val="5"/>
                <w:szCs w:val="5"/>
                <w:b w:val="1"/>
                <w:bCs w:val="1"/>
                <w:color w:val="auto"/>
              </w:rPr>
              <w:t>Other</w:t>
            </w: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51"/>
              <w:spacing w:after="0" w:line="48" w:lineRule="exact"/>
              <w:rPr>
                <w:sz w:val="20"/>
                <w:szCs w:val="20"/>
                <w:color w:val="auto"/>
              </w:rPr>
            </w:pPr>
            <w:r>
              <w:rPr>
                <w:rFonts w:ascii="Arial" w:cs="Arial" w:eastAsia="Arial" w:hAnsi="Arial"/>
                <w:sz w:val="5"/>
                <w:szCs w:val="5"/>
                <w:b w:val="1"/>
                <w:bCs w:val="1"/>
                <w:color w:val="auto"/>
              </w:rPr>
              <w:t>Total</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Class A</w:t>
            </w:r>
          </w:p>
        </w:tc>
        <w:tc>
          <w:tcPr>
            <w:tcW w:w="6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3"/>
              </w:rPr>
              <w:t>Class B</w:t>
            </w:r>
          </w:p>
        </w:tc>
        <w:tc>
          <w:tcPr>
            <w:tcW w:w="7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6"/>
              </w:rPr>
              <w:t>Additional Paid-</w:t>
            </w:r>
          </w:p>
        </w:tc>
        <w:tc>
          <w:tcPr>
            <w:tcW w:w="1040" w:type="dxa"/>
            <w:vAlign w:val="bottom"/>
            <w:gridSpan w:val="3"/>
          </w:tcPr>
          <w:p>
            <w:pPr>
              <w:jc w:val="center"/>
              <w:ind w:right="60"/>
              <w:spacing w:after="0" w:line="129"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840" w:type="dxa"/>
            <w:vAlign w:val="bottom"/>
          </w:tcPr>
          <w:p>
            <w:pPr>
              <w:jc w:val="center"/>
              <w:ind w:right="31"/>
              <w:spacing w:after="0" w:line="129"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70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Warrant compensation expense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issuance costs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Balance—September 30, 2022</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Balance—January 1,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Common stock—option exercises and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w w:val="99"/>
              </w:rPr>
              <w:t>restricted stock units vesting, net of</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shares withheld for employee taxes</w:t>
            </w: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80" w:type="dxa"/>
            <w:vAlign w:val="bottom"/>
          </w:tcPr>
          <w:p>
            <w:pPr>
              <w:ind w:left="20"/>
              <w:spacing w:after="0" w:line="143" w:lineRule="exact"/>
              <w:rPr>
                <w:sz w:val="20"/>
                <w:szCs w:val="20"/>
                <w:color w:val="auto"/>
              </w:rPr>
            </w:pPr>
            <w:r>
              <w:rPr>
                <w:rFonts w:ascii="Arial" w:cs="Arial" w:eastAsia="Arial" w:hAnsi="Arial"/>
                <w:sz w:val="14"/>
                <w:szCs w:val="14"/>
                <w:color w:val="auto"/>
                <w:w w:val="94"/>
              </w:rPr>
              <w:t>Reclassification of early-exercised stock</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8"/>
        </w:trPr>
        <w:tc>
          <w:tcPr>
            <w:tcW w:w="238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Warrant compensation expense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issuance costs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Term Loan warrants issued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30, 2022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112.0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ROOT, INC. AND SUBSIDIARIES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 UNAUDITED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tcPr>
          <w:p>
            <w:pPr>
              <w:jc w:val="center"/>
              <w:ind w:left="190"/>
              <w:spacing w:after="0"/>
              <w:rPr>
                <w:sz w:val="20"/>
                <w:szCs w:val="20"/>
                <w:color w:val="auto"/>
              </w:rPr>
            </w:pPr>
            <w:r>
              <w:rPr>
                <w:rFonts w:ascii="Arial" w:cs="Arial" w:eastAsia="Arial" w:hAnsi="Arial"/>
                <w:sz w:val="13"/>
                <w:szCs w:val="13"/>
                <w:b w:val="1"/>
                <w:bCs w:val="1"/>
                <w:color w:val="auto"/>
                <w:w w:val="86"/>
              </w:rPr>
              <w:t>Redeemable</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7"/>
            <w:vMerge w:val="restart"/>
          </w:tcPr>
          <w:p>
            <w:pPr>
              <w:jc w:val="center"/>
              <w:ind w:right="100"/>
              <w:spacing w:after="0"/>
              <w:rPr>
                <w:sz w:val="20"/>
                <w:szCs w:val="20"/>
                <w:color w:val="auto"/>
              </w:rPr>
            </w:pPr>
            <w:r>
              <w:rPr>
                <w:rFonts w:ascii="Arial" w:cs="Arial" w:eastAsia="Arial" w:hAnsi="Arial"/>
                <w:sz w:val="13"/>
                <w:szCs w:val="13"/>
                <w:b w:val="1"/>
                <w:bCs w:val="1"/>
                <w:color w:val="auto"/>
                <w:w w:val="86"/>
              </w:rPr>
              <w:t>Class A and Class B Common</w:t>
            </w: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36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Convertible Preferred</w:t>
            </w:r>
          </w:p>
        </w:tc>
        <w:tc>
          <w:tcPr>
            <w:tcW w:w="60" w:type="dxa"/>
            <w:vAlign w:val="bottom"/>
          </w:tcPr>
          <w:p>
            <w:pPr>
              <w:spacing w:after="0"/>
              <w:rPr>
                <w:sz w:val="10"/>
                <w:szCs w:val="10"/>
                <w:color w:val="auto"/>
              </w:rPr>
            </w:pPr>
          </w:p>
        </w:tc>
        <w:tc>
          <w:tcPr>
            <w:tcW w:w="2060" w:type="dxa"/>
            <w:vAlign w:val="bottom"/>
            <w:gridSpan w:val="7"/>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000" w:type="dxa"/>
            <w:vAlign w:val="bottom"/>
            <w:gridSpan w:val="3"/>
          </w:tcPr>
          <w:p>
            <w:pPr>
              <w:jc w:val="center"/>
              <w:ind w:left="190"/>
              <w:spacing w:after="0" w:line="135" w:lineRule="exact"/>
              <w:rPr>
                <w:sz w:val="20"/>
                <w:szCs w:val="20"/>
                <w:color w:val="auto"/>
              </w:rPr>
            </w:pPr>
            <w:r>
              <w:rPr>
                <w:rFonts w:ascii="Arial" w:cs="Arial" w:eastAsia="Arial" w:hAnsi="Arial"/>
                <w:sz w:val="13"/>
                <w:szCs w:val="13"/>
                <w:b w:val="1"/>
                <w:bCs w:val="1"/>
                <w:color w:val="auto"/>
                <w:w w:val="84"/>
              </w:rPr>
              <w:t>Stock</w:t>
            </w: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8"/>
              </w:rPr>
              <w:t>Stock</w:t>
            </w:r>
            <w:r>
              <w:rPr>
                <w:rFonts w:ascii="Arial" w:cs="Arial" w:eastAsia="Arial" w:hAnsi="Arial"/>
                <w:sz w:val="15"/>
                <w:szCs w:val="15"/>
                <w:b w:val="1"/>
                <w:bCs w:val="1"/>
                <w:color w:val="auto"/>
                <w:w w:val="88"/>
                <w:vertAlign w:val="superscript"/>
              </w:rPr>
              <w:t>(1)</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220"/>
              <w:spacing w:after="0" w:line="135" w:lineRule="exact"/>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ind w:right="200"/>
              <w:spacing w:after="0" w:line="48" w:lineRule="exact"/>
              <w:rPr>
                <w:sz w:val="20"/>
                <w:szCs w:val="20"/>
                <w:color w:val="auto"/>
              </w:rPr>
            </w:pPr>
            <w:r>
              <w:rPr>
                <w:rFonts w:ascii="Arial" w:cs="Arial" w:eastAsia="Arial" w:hAnsi="Arial"/>
                <w:sz w:val="5"/>
                <w:szCs w:val="5"/>
                <w:b w:val="1"/>
                <w:bCs w:val="1"/>
                <w:color w:val="auto"/>
              </w:rPr>
              <w:t>Other</w:t>
            </w: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51"/>
              <w:spacing w:after="0" w:line="48" w:lineRule="exact"/>
              <w:rPr>
                <w:sz w:val="20"/>
                <w:szCs w:val="20"/>
                <w:color w:val="auto"/>
              </w:rPr>
            </w:pPr>
            <w:r>
              <w:rPr>
                <w:rFonts w:ascii="Arial" w:cs="Arial" w:eastAsia="Arial" w:hAnsi="Arial"/>
                <w:sz w:val="5"/>
                <w:szCs w:val="5"/>
                <w:b w:val="1"/>
                <w:bCs w:val="1"/>
                <w:color w:val="auto"/>
              </w:rPr>
              <w:t>Total</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Class A</w:t>
            </w:r>
          </w:p>
        </w:tc>
        <w:tc>
          <w:tcPr>
            <w:tcW w:w="6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3"/>
              </w:rPr>
              <w:t>Class B</w:t>
            </w:r>
          </w:p>
        </w:tc>
        <w:tc>
          <w:tcPr>
            <w:tcW w:w="7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6"/>
              </w:rPr>
              <w:t>Additional Paid-</w:t>
            </w:r>
          </w:p>
        </w:tc>
        <w:tc>
          <w:tcPr>
            <w:tcW w:w="1040" w:type="dxa"/>
            <w:vAlign w:val="bottom"/>
            <w:gridSpan w:val="3"/>
          </w:tcPr>
          <w:p>
            <w:pPr>
              <w:jc w:val="center"/>
              <w:ind w:right="60"/>
              <w:spacing w:after="0" w:line="129"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840" w:type="dxa"/>
            <w:vAlign w:val="bottom"/>
          </w:tcPr>
          <w:p>
            <w:pPr>
              <w:jc w:val="center"/>
              <w:ind w:right="31"/>
              <w:spacing w:after="0" w:line="129"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70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2021</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7"/>
              </w:rPr>
              <w:t>(0.8)</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Common stock—option exercises and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w w:val="99"/>
              </w:rPr>
              <w:t>restricted stock units vesting, net of</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shares withheld for employee taxes</w:t>
            </w: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80" w:type="dxa"/>
            <w:vAlign w:val="bottom"/>
          </w:tcPr>
          <w:p>
            <w:pPr>
              <w:ind w:left="20"/>
              <w:spacing w:after="0" w:line="143" w:lineRule="exact"/>
              <w:rPr>
                <w:sz w:val="20"/>
                <w:szCs w:val="20"/>
                <w:color w:val="auto"/>
              </w:rPr>
            </w:pPr>
            <w:r>
              <w:rPr>
                <w:rFonts w:ascii="Arial" w:cs="Arial" w:eastAsia="Arial" w:hAnsi="Arial"/>
                <w:sz w:val="14"/>
                <w:szCs w:val="14"/>
                <w:color w:val="auto"/>
                <w:w w:val="94"/>
              </w:rPr>
              <w:t>Reclassification of early-exercised stock</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8"/>
        </w:trPr>
        <w:tc>
          <w:tcPr>
            <w:tcW w:w="238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6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Balance—September 30, 2021</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97"/>
              </w:rPr>
              <w:t>(0.8)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7"/>
              </w:rPr>
              <w:t>(0.8)</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Common stock—option exercises and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w w:val="99"/>
              </w:rPr>
              <w:t>restricted stock units vesting, net of</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shares withheld for employee taxes</w:t>
            </w: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80" w:type="dxa"/>
            <w:vAlign w:val="bottom"/>
          </w:tcPr>
          <w:p>
            <w:pPr>
              <w:ind w:left="20"/>
              <w:spacing w:after="0" w:line="143" w:lineRule="exact"/>
              <w:rPr>
                <w:sz w:val="20"/>
                <w:szCs w:val="20"/>
                <w:color w:val="auto"/>
              </w:rPr>
            </w:pPr>
            <w:r>
              <w:rPr>
                <w:rFonts w:ascii="Arial" w:cs="Arial" w:eastAsia="Arial" w:hAnsi="Arial"/>
                <w:sz w:val="14"/>
                <w:szCs w:val="14"/>
                <w:color w:val="auto"/>
                <w:w w:val="94"/>
              </w:rPr>
              <w:t>Reclassification of early-exercised stock</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8"/>
        </w:trPr>
        <w:tc>
          <w:tcPr>
            <w:tcW w:w="238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6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stock—share-based</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Arial" w:cs="Arial" w:eastAsia="Arial" w:hAnsi="Arial"/>
                <w:sz w:val="14"/>
                <w:szCs w:val="14"/>
                <w:color w:val="auto"/>
              </w:rPr>
              <w:t>Balance—September 30, 2021</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97"/>
              </w:rPr>
              <w:t>(0.8)</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1,794.4</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(1,159.2)</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Borders>
              <w:top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94"/>
        </w:trPr>
        <w:tc>
          <w:tcPr>
            <w:tcW w:w="8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194"/>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(230.3)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(411.2)</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compensation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Payment-in-kind interest expense</w:t>
            </w:r>
          </w:p>
        </w:tc>
        <w:tc>
          <w:tcPr>
            <w:tcW w:w="9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realized gains on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Gain on lease modification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equity securities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receivable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Reinsurance recoverable and receivable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reinsurance premiums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 reserves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Unearned premiums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premiums payable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(163.9)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w:t>
            </w: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Sales of investments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Purchases of fixed assets</w:t>
            </w:r>
          </w:p>
        </w:tc>
        <w:tc>
          <w:tcPr>
            <w:tcW w:w="9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 and restricted stock units, net of tax proceeds/(withholding)</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and related warrants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Payment of preferred stock and related warrants issuance costs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1,113.8</w:t>
            </w: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9" w:name="page10"/>
    <w:bookmarkEnd w:id="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5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w:t>
      </w:r>
    </w:p>
    <w:p>
      <w:pPr>
        <w:spacing w:after="0" w:line="13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are a technology company operating a primarily direct-to-consumer model with the majority of our personal insurance customers acquired through mobile applications. We offer auto and renters insurance products underwritten by Root Insurance Company and Root Property &amp; Casualty Insurance Company.</w:t>
      </w:r>
    </w:p>
    <w:p>
      <w:pPr>
        <w:spacing w:after="0" w:line="12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1"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—In our opinion, all adjustments necessary for a fair presentation of the condensed consolidated financial statements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2021 filed with the SEC on February 23, 2022, or the 2021 10-K.</w:t>
      </w:r>
    </w:p>
    <w:p>
      <w:pPr>
        <w:spacing w:after="0" w:line="11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2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the unaudited condensed consolidated financial statements requires management to make certain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allowance for expected credit losses on premium receivables and valuation allowances for income taxes.</w:t>
      </w:r>
    </w:p>
    <w:p>
      <w:pPr>
        <w:spacing w:after="0" w:line="10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Reverse Stock Split</w:t>
      </w:r>
      <w:r>
        <w:rPr>
          <w:rFonts w:ascii="Arial" w:cs="Arial" w:eastAsia="Arial" w:hAnsi="Arial"/>
          <w:sz w:val="16"/>
          <w:szCs w:val="16"/>
          <w:color w:val="auto"/>
        </w:rPr>
        <w:t>— In August 2022, a subcommittee of our Board of Directors approved a reverse stock split of our Class A and Class B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Stock Market.</w:t>
      </w:r>
    </w:p>
    <w:p>
      <w:pPr>
        <w:spacing w:after="0" w:line="10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connection with the reverse stock split, there was no change to the shares authorized or in the par value per share of $0.0001. In addition, there was no change to the number of shares issued or outstanding for our Series A Preferred Stock. The conversion price for our Series A Preferred Stock was adjusted to $162.00 and the exercise price and number of warrant shares for each of our outstanding warrants were also proportionately adjusted. Accordingly, all historical per share data, number of shares outstanding and other common stock equivalents for the periods presented in the accompanying condensed consolidated financial statements and notes thereto have been adjusted retroactively, where applicable, to reflect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b w:val="1"/>
          <w:bCs w:val="1"/>
          <w:color w:val="auto"/>
        </w:rPr>
        <w:t>COVID-19</w:t>
      </w:r>
      <w:r>
        <w:rPr>
          <w:rFonts w:ascii="Arial" w:cs="Arial" w:eastAsia="Arial" w:hAnsi="Arial"/>
          <w:sz w:val="16"/>
          <w:szCs w:val="16"/>
          <w:color w:val="auto"/>
        </w:rPr>
        <w:t>—In March 2020, the World Health Organization declared COVID-19 to be a global pandemic. The COVID-19 pandemic and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certain factors related to the COVID-19 global pandemic, we continue to file in multiple states to establish rates that more closely follow the evolving loss cost trends.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13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Cash, Cash Equivalents and Restricted Cash</w:t>
      </w:r>
      <w:r>
        <w:rPr>
          <w:rFonts w:ascii="Arial" w:cs="Arial" w:eastAsia="Arial" w:hAnsi="Arial"/>
          <w:sz w:val="16"/>
          <w:szCs w:val="16"/>
          <w:color w:val="auto"/>
        </w:rPr>
        <w:t>—The following table provides a reconciliation of cash, cash equivalents and restricted cash reported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condensed consolidated balance sheets that sum to the total of the same such amount in the condensed consolidated statements of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flows</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September 30, 2022 and December 31, 2021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2022</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Allowance for Expected</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 Gains</w:t>
            </w: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6"/>
              </w:rPr>
              <w:t>U.S. Treasury securities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0"/>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Allowance for Expected</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 Gains</w:t>
            </w: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6"/>
              </w:rPr>
              <w:t>U.S. Treasury securities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0"/>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Management reviewed the available-for-sale securities at each balance sheet date to consider whether it was necessary to recognize a credit loss as of September 30, 2022 and December 31, 2021.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2022 and December 31, 2021, other investments related to our private equity investments were $4.4 million and $4.7 million, respectively. We recognized zero and $1.2 million of realized gains for the three and nine months ended September 30, 2022, respectively. We recorded the sale of one of our private equity investments within net realized gains on investments in our condensed consolidated statements of operations and comprehensive loss for the nine months ended September 30, 2022. There were no impairment losses recognized on private equity investments for the three and nine months ended September 30, 2022 and 2021.</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September 30,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3"/>
              <w:spacing w:after="0" w:line="13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13"/>
              <w:spacing w:after="0" w:line="13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93"/>
              <w:spacing w:after="0" w:line="13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56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maturities: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U.S. Treasury securities and agencies</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Municipal securities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Corporate debt securities</w:t>
      </w:r>
    </w:p>
    <w:p>
      <w:pPr>
        <w:spacing w:after="0" w:line="63" w:lineRule="exact"/>
        <w:rPr>
          <w:sz w:val="20"/>
          <w:szCs w:val="20"/>
          <w:color w:val="auto"/>
        </w:rPr>
      </w:pPr>
    </w:p>
    <w:p>
      <w:pPr>
        <w:ind w:left="140"/>
        <w:spacing w:after="0" w:line="378" w:lineRule="auto"/>
        <w:rPr>
          <w:sz w:val="20"/>
          <w:szCs w:val="20"/>
          <w:color w:val="auto"/>
        </w:rPr>
      </w:pPr>
      <w:r>
        <w:rPr>
          <w:rFonts w:ascii="Arial" w:cs="Arial" w:eastAsia="Arial" w:hAnsi="Arial"/>
          <w:sz w:val="16"/>
          <w:szCs w:val="16"/>
          <w:color w:val="auto"/>
        </w:rPr>
        <w:t>Residential mortgage-backed securities Commercial mortgage-backed securities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fixed maturities</w:t>
      </w:r>
    </w:p>
    <w:p>
      <w:pPr>
        <w:spacing w:after="0" w:line="20" w:lineRule="exact"/>
        <w:rPr>
          <w:sz w:val="20"/>
          <w:szCs w:val="20"/>
          <w:color w:val="auto"/>
        </w:rPr>
      </w:pPr>
      <w:r>
        <w:rPr>
          <w:sz w:val="20"/>
          <w:szCs w:val="20"/>
          <w:color w:val="auto"/>
        </w:rPr>
        <w:br w:type="column"/>
      </w:r>
    </w:p>
    <w:p>
      <w:pPr>
        <w:ind w:left="3260"/>
        <w:spacing w:after="0"/>
        <w:rPr>
          <w:sz w:val="20"/>
          <w:szCs w:val="20"/>
          <w:color w:val="auto"/>
        </w:rPr>
      </w:pPr>
      <w:r>
        <w:rPr>
          <w:rFonts w:ascii="Arial" w:cs="Arial" w:eastAsia="Arial" w:hAnsi="Arial"/>
          <w:sz w:val="14"/>
          <w:szCs w:val="14"/>
          <w:b w:val="1"/>
          <w:bCs w:val="1"/>
          <w:color w:val="auto"/>
        </w:rPr>
        <w:t>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5"/>
              <w:spacing w:after="0" w:line="13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15"/>
              <w:spacing w:after="0" w:line="13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95"/>
              <w:spacing w:after="0" w:line="13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-1216660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-899160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-556895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-213995</wp:posOffset>
            </wp:positionV>
            <wp:extent cx="71323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20"/>
            <w:col w:w="76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4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table reflects the gross and net realized gains and losses on short-term investments, available-for-sale fixed maturities and other investments that have been included in the condensed consolidated statements of operations and comprehensive loss for the three and nine months ended September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84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94"/>
        </w:trPr>
        <w:tc>
          <w:tcPr>
            <w:tcW w:w="4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6"/>
          </w:tcPr>
          <w:p>
            <w:pPr>
              <w:ind w:left="10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on investments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7"/>
              </w:rPr>
              <w:t>2.5</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Realized losses on investments</w:t>
            </w:r>
          </w:p>
        </w:tc>
        <w:tc>
          <w:tcPr>
            <w:tcW w:w="1120" w:type="dxa"/>
            <w:vAlign w:val="bottom"/>
          </w:tcPr>
          <w:p>
            <w:pPr>
              <w:spacing w:after="0"/>
              <w:rPr>
                <w:sz w:val="23"/>
                <w:szCs w:val="23"/>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40" w:type="dxa"/>
            <w:vAlign w:val="bottom"/>
          </w:tcPr>
          <w:p>
            <w:pPr>
              <w:jc w:val="center"/>
              <w:ind w:left="757"/>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center"/>
              <w:ind w:left="715"/>
              <w:spacing w:after="0"/>
              <w:rPr>
                <w:sz w:val="20"/>
                <w:szCs w:val="20"/>
                <w:color w:val="auto"/>
              </w:rPr>
            </w:pPr>
            <w:r>
              <w:rPr>
                <w:rFonts w:ascii="Arial" w:cs="Arial" w:eastAsia="Arial" w:hAnsi="Arial"/>
                <w:sz w:val="18"/>
                <w:szCs w:val="18"/>
                <w:color w:val="auto"/>
                <w:w w:val="97"/>
              </w:rPr>
              <w:t>(0.1)</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w:t>
            </w: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87"/>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87"/>
              </w:rPr>
              <w:t>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amortized cost and fair value of short-term investments and available-for-sale fixed maturity securities by contractual maturity at September 30,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rPr>
              <w:t>September 30, 2022</w:t>
            </w:r>
          </w:p>
        </w:tc>
      </w:tr>
      <w:tr>
        <w:trPr>
          <w:trHeight w:val="26"/>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rPr>
              <w:t>(dollars in millions)</w:t>
            </w:r>
          </w:p>
        </w:tc>
      </w:tr>
      <w:tr>
        <w:trPr>
          <w:trHeight w:val="39"/>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investment income for the three and nine months ended September 30,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194"/>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bonds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7"/>
              </w:rPr>
              <w:t>1.9</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on deposits and cash equivalents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5"/>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3"/>
              <w:spacing w:after="0"/>
              <w:rPr>
                <w:sz w:val="20"/>
                <w:szCs w:val="20"/>
                <w:color w:val="auto"/>
              </w:rPr>
            </w:pPr>
            <w:r>
              <w:rPr>
                <w:rFonts w:ascii="Arial" w:cs="Arial" w:eastAsia="Arial" w:hAnsi="Arial"/>
                <w:sz w:val="18"/>
                <w:szCs w:val="18"/>
                <w:color w:val="auto"/>
                <w:w w:val="87"/>
              </w:rPr>
              <w:t>0.8</w:t>
            </w: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investments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7"/>
              </w:rPr>
              <w:t>0.4</w:t>
            </w: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left="735"/>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left="733"/>
              <w:spacing w:after="0"/>
              <w:rPr>
                <w:sz w:val="20"/>
                <w:szCs w:val="20"/>
                <w:color w:val="auto"/>
              </w:rPr>
            </w:pPr>
            <w:r>
              <w:rPr>
                <w:rFonts w:ascii="Arial" w:cs="Arial" w:eastAsia="Arial" w:hAnsi="Arial"/>
                <w:sz w:val="18"/>
                <w:szCs w:val="18"/>
                <w:color w:val="auto"/>
                <w:w w:val="87"/>
              </w:rPr>
              <w:t>3.1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8"/>
                <w:szCs w:val="18"/>
                <w:color w:val="auto"/>
                <w:w w:val="97"/>
              </w:rPr>
              <w:t>(0.5)</w:t>
            </w: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87"/>
              </w:rPr>
              <w:t>2.6</w:t>
            </w:r>
          </w:p>
        </w:tc>
      </w:tr>
      <w:tr>
        <w:trPr>
          <w:trHeight w:val="21"/>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Unrealized gains resulting from observable price changes related to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credit ratings of short-term investments and available-for-sale fixed maturity securities at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2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about our financial assets measured and reported at fair value as of September 30, 2022 and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196"/>
        </w:trPr>
        <w:tc>
          <w:tcPr>
            <w:tcW w:w="4700" w:type="dxa"/>
            <w:vAlign w:val="bottom"/>
          </w:tcPr>
          <w:p>
            <w:pPr>
              <w:ind w:left="460"/>
              <w:spacing w:after="0" w:line="196" w:lineRule="exact"/>
              <w:rPr>
                <w:sz w:val="20"/>
                <w:szCs w:val="20"/>
                <w:color w:val="auto"/>
              </w:rPr>
            </w:pPr>
            <w:r>
              <w:rPr>
                <w:rFonts w:ascii="Arial" w:cs="Arial" w:eastAsia="Arial" w:hAnsi="Arial"/>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134.6</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110.1</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127.0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amount of long-term debt is recorded at the unpaid balance, net of debt issuance costs. The fair value of outstanding long-term debt is classified within Level 2 of the fair value hierarchy. The fair value is based on a model referencing observable interest rates and spreads to project and discount cash flows to present value. As of September 30, 2022 and December 31, 2021, the carrying amounts and fair values of these financial instruments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6"/>
              </w:rPr>
              <w:t>Carrying Amount</w:t>
            </w:r>
          </w:p>
        </w:tc>
        <w:tc>
          <w:tcPr>
            <w:tcW w:w="220" w:type="dxa"/>
            <w:vAlign w:val="bottom"/>
          </w:tcPr>
          <w:p>
            <w:pPr>
              <w:spacing w:after="0"/>
              <w:rPr>
                <w:sz w:val="14"/>
                <w:szCs w:val="14"/>
                <w:color w:val="auto"/>
              </w:rPr>
            </w:pPr>
          </w:p>
        </w:tc>
        <w:tc>
          <w:tcPr>
            <w:tcW w:w="184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2"/>
              </w:rPr>
              <w:t>Estimated Fair Value as of</w:t>
            </w:r>
          </w:p>
        </w:tc>
        <w:tc>
          <w:tcPr>
            <w:tcW w:w="1720" w:type="dxa"/>
            <w:vAlign w:val="bottom"/>
          </w:tcPr>
          <w:p>
            <w:pPr>
              <w:jc w:val="center"/>
              <w:ind w:left="324"/>
              <w:spacing w:after="0"/>
              <w:rPr>
                <w:sz w:val="20"/>
                <w:szCs w:val="20"/>
                <w:color w:val="auto"/>
              </w:rPr>
            </w:pPr>
            <w:r>
              <w:rPr>
                <w:rFonts w:ascii="Arial" w:cs="Arial" w:eastAsia="Arial" w:hAnsi="Arial"/>
                <w:sz w:val="14"/>
                <w:szCs w:val="14"/>
                <w:b w:val="1"/>
                <w:bCs w:val="1"/>
                <w:color w:val="auto"/>
                <w:w w:val="97"/>
              </w:rPr>
              <w:t>Carrying Amount</w:t>
            </w:r>
          </w:p>
        </w:tc>
        <w:tc>
          <w:tcPr>
            <w:tcW w:w="560" w:type="dxa"/>
            <w:vAlign w:val="bottom"/>
          </w:tcPr>
          <w:p>
            <w:pPr>
              <w:spacing w:after="0"/>
              <w:rPr>
                <w:sz w:val="14"/>
                <w:szCs w:val="14"/>
                <w:color w:val="auto"/>
              </w:rPr>
            </w:pPr>
          </w:p>
        </w:tc>
        <w:tc>
          <w:tcPr>
            <w:tcW w:w="18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Estimated Fair Value as of</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72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w w:val="85"/>
              </w:rPr>
              <w:t>as of</w:t>
            </w:r>
          </w:p>
        </w:tc>
        <w:tc>
          <w:tcPr>
            <w:tcW w:w="5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as of September 30, 2022</w:t>
            </w: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September 30, 2022</w:t>
            </w:r>
          </w:p>
        </w:tc>
        <w:tc>
          <w:tcPr>
            <w:tcW w:w="172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91"/>
              </w:rPr>
              <w:t>December 31, 2021</w:t>
            </w:r>
          </w:p>
        </w:tc>
        <w:tc>
          <w:tcPr>
            <w:tcW w:w="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2"/>
          </w:tcPr>
          <w:p>
            <w:pPr>
              <w:jc w:val="right"/>
              <w:ind w:right="1024"/>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306.3</w:t>
            </w:r>
          </w:p>
        </w:tc>
        <w:tc>
          <w:tcPr>
            <w:tcW w:w="1720" w:type="dxa"/>
            <w:vAlign w:val="bottom"/>
            <w:shd w:val="clear" w:color="auto" w:fill="CCEEFF"/>
          </w:tcPr>
          <w:p>
            <w:pPr>
              <w:jc w:val="right"/>
              <w:ind w:right="146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19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5"/>
              </w:rPr>
              <w:t>(dollars in millions)</w:t>
            </w:r>
          </w:p>
        </w:tc>
        <w:tc>
          <w:tcPr>
            <w:tcW w:w="50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237.2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(79.6)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157.6</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Net incurred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293.8</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284.5</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Net paid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223.0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September 30</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219.1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September 30</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300.7</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Incurred losses and LAE attributable to prior accident years was a decrease of $0.2 million and $9.3 million for the nine months ended September 30, 2022 and 2021, respectively. For the nine months ended September 30, 2022, the development of incurred losses and LAE related to prior periods was a result of lower-than-expected LAE on prior accident period claims, partially offset by higher-than-expected reported losses on property damage and collision claims due to inflation. For the nine months ended September 30, 2021, the development of incurred losses related to prior periods was primarily due to lower-than-expected reported losses on bodily injury claims, and higher than expected recoveries from subrogation and salvage from 2020 material damage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reflects amounts affecting the condensed consolidated statements of operations and comprehensive loss for reinsurance for the three and nine months ended September 30,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written:</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Premiums earned: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Assumed</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96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Losses and LAE incurred:</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430.0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and LAE incurred</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11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January 2022, we entered into a $300.0 million five-year term loan, or Term Loan, with the principal amount due and payable upon maturity on January 27, 2027. Interest is payable quarterly and is determined on a floating interest rate currently calculated on the Secured Overnight Financing Rate, or SOFR, with a 1.0% floor, plus 9.0%, plus 0.26161% per annum. As part of the loan agreement, we issued warrants to the lender to purchase 0.3 million shares of our Class A common stock at a strike price of $162.00 per share. Such warrants will expire on the later of the repayment in full of the Term Loan or January 27, 2027. The total fair value of these warrants at January 27, 2022 was $0.6 million.</w:t>
      </w:r>
    </w:p>
    <w:p>
      <w:pPr>
        <w:spacing w:after="0" w:line="12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Term Loan contains debt covenants which, among other things,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earned premium of 12%; or ceasing any customer acquisition spend outside of the Carvana commercial agreement and reducing our monthly cash burn to no greater than $12.0 million.</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latter set of circumstances, we must issue additional warrants to purchase shares of our Class A common stock equal to 1.0% of the aggregate number of issued and outstanding shares of Class A common stock on a fully-diluted basis as of the date the threshold is reduced. The additional warrants, if issued, would have an exercise price equal to the 30-trading day volume weighted average price of the Class A common stock as of the trading day immediately prior to the triggering date. The additional warrants will expire on the later of the repayment in full of the Term Loan, January 27, 2027 or the date that falls 12 months after the issuance of these warrants. As of September 30, 2022, the fair value of these 1.0% warrants was immaterial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carrying value of long-term debt as of September 30,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r>
      <w:tr>
        <w:trPr>
          <w:trHeight w:val="188"/>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4"/>
          </w:tcPr>
          <w:p>
            <w:pPr>
              <w:ind w:left="1000"/>
              <w:spacing w:after="0"/>
              <w:rPr>
                <w:sz w:val="20"/>
                <w:szCs w:val="20"/>
                <w:color w:val="auto"/>
              </w:rPr>
            </w:pPr>
            <w:r>
              <w:rPr>
                <w:rFonts w:ascii="Arial" w:cs="Arial" w:eastAsia="Arial" w:hAnsi="Arial"/>
                <w:sz w:val="14"/>
                <w:szCs w:val="14"/>
                <w:b w:val="1"/>
                <w:bCs w:val="1"/>
                <w:color w:val="auto"/>
              </w:rPr>
              <w:t>(dollars in millions)</w:t>
            </w:r>
          </w:p>
        </w:tc>
      </w:tr>
      <w:tr>
        <w:trPr>
          <w:trHeight w:val="25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 debt issuance costs and warrants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r>
      <w:tr>
        <w:trPr>
          <w:trHeight w:val="21"/>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consolidated effective tax rate was zero for the three and nine months ended September 30, 2022 and 2021, respectively. The difference between these rates and the U.S. federal income tax rate of 21% was primarily due to a full valuation allowance on our U.S. deferred tax assets.</w:t>
      </w:r>
    </w:p>
    <w:p>
      <w:pPr>
        <w:spacing w:after="0" w:line="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2022 and December 31, 2021, we did not have any unrecognized tax benefits for uncertain tax positions and had no interest or penalties related to uncertain tax positions.</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2022, we performed an estimated ownership change analysis and determined that we have experienced an ownership change under Section 382 of the Internal Revenue Code, or the Code. Accordingly, use of a portion of our net operating losses and tax credit carryforwards are subject to an annual limitation under Section 382 of the Code. We do not expect to lose any deferred tax assets related to our net operating losses as a result of these limitations.</w:t>
      </w:r>
    </w:p>
    <w:p>
      <w:pPr>
        <w:spacing w:after="0" w:line="33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COSTS</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2022, we instituted an organizational realignment, which included an involuntary workforce reduction, due to inflation and loss cost trends and to further drive efficiency and increased focus on our strategic priorities (the “January 2022 Restructuring”). As a result of the January 2022 Restructuring, we incurred severance, benefits and related costs, as well as accelerated expense for software that no longer has economic benefit. Additionally, we ceased using certain floors of our corporate headquarters in Columbus, Ohio. To the extent we had no intent or ability to sublease the space, we accelerated the amortization of the related right-of-use assets, leasehold improvements and furniture and fixtures. For subleased space, we recognized sublease income as an offset to amortization of the right-of-use asset. We do not expect to incur any material additional expenditures in future periods related to the January 2022 Restructuring.</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displays restructuring costs recorded in general and administrative expenses on the condensed consolidated statements of operations and comprehensive loss: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8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1"/>
        </w:trPr>
        <w:tc>
          <w:tcPr>
            <w:tcW w:w="472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gridSpan w:val="6"/>
          </w:tcPr>
          <w:p>
            <w:pPr>
              <w:ind w:left="10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benefits, and related costs</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Arial" w:cs="Arial" w:eastAsia="Arial" w:hAnsi="Arial"/>
                <w:sz w:val="18"/>
                <w:szCs w:val="18"/>
                <w:color w:val="auto"/>
              </w:rPr>
              <w:t>Real estate exit costs</w:t>
            </w:r>
          </w:p>
        </w:tc>
        <w:tc>
          <w:tcPr>
            <w:tcW w:w="1100" w:type="dxa"/>
            <w:vAlign w:val="bottom"/>
          </w:tcPr>
          <w:p>
            <w:pPr>
              <w:spacing w:after="0"/>
              <w:rPr>
                <w:sz w:val="21"/>
                <w:szCs w:val="21"/>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Software costs</w:t>
            </w:r>
          </w:p>
        </w:tc>
        <w:tc>
          <w:tcPr>
            <w:tcW w:w="1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720" w:type="dxa"/>
            <w:vAlign w:val="bottom"/>
          </w:tcPr>
          <w:p>
            <w:pPr>
              <w:ind w:left="240"/>
              <w:spacing w:after="0"/>
              <w:rPr>
                <w:sz w:val="20"/>
                <w:szCs w:val="20"/>
                <w:color w:val="auto"/>
              </w:rPr>
            </w:pPr>
            <w:r>
              <w:rPr>
                <w:rFonts w:ascii="Arial" w:cs="Arial" w:eastAsia="Arial" w:hAnsi="Arial"/>
                <w:sz w:val="18"/>
                <w:szCs w:val="18"/>
                <w:color w:val="auto"/>
              </w:rPr>
              <w:t>Total restructuring costs</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Includes cash expenditures of $0.1 million and $3.5 million for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August 2022, a subcommittee of our Board of Directors approved a reverse stock split of our Class A and Class B common stock at a ratio of 1-for-18, which became effective on August 12, 2022. Accordingly, all stock, equity award, warrant, and per share amounts have been adjusted to reflect the reverse stock split for all prior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2021, we issued Carvana eight tranches of warrants, comprised of three tranches of “short-term warrants” and five tranches of “long-term warrants.” However, the exercisability of certain tranches is subject to Carvana’s decision to exercise certain other tranches. If Carvana exercises short-term tranches, then long-term tranche 1 warrants are cancelled and the remaining long-term tranches would be reduced such that Carvana will have the opportunity to purchase a maximum of 7.2 million shares of Class A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w w:val="99"/>
              </w:rPr>
              <w:t>The following table provides the exercise price and shares issued, effected for the reverse stock split: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 Issued</w:t>
            </w:r>
          </w:p>
        </w:tc>
      </w:tr>
      <w:tr>
        <w:trPr>
          <w:trHeight w:val="234"/>
        </w:trPr>
        <w:tc>
          <w:tcPr>
            <w:tcW w:w="8020" w:type="dxa"/>
            <w:vAlign w:val="bottom"/>
            <w:gridSpan w:val="2"/>
          </w:tcPr>
          <w:p>
            <w:pPr>
              <w:ind w:left="360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 Price</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jc w:val="right"/>
              <w:ind w:right="7160"/>
              <w:spacing w:after="0"/>
              <w:rPr>
                <w:sz w:val="20"/>
                <w:szCs w:val="20"/>
                <w:color w:val="auto"/>
              </w:rPr>
            </w:pPr>
            <w:r>
              <w:rPr>
                <w:rFonts w:ascii="Arial" w:cs="Arial" w:eastAsia="Arial" w:hAnsi="Arial"/>
                <w:sz w:val="18"/>
                <w:szCs w:val="18"/>
                <w:color w:val="auto"/>
                <w:w w:val="92"/>
              </w:rPr>
              <w:t>Short-Term</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2"/>
          </w:tcPr>
          <w:p>
            <w:pPr>
              <w:jc w:val="right"/>
              <w:ind w:right="7160"/>
              <w:spacing w:after="0"/>
              <w:rPr>
                <w:sz w:val="20"/>
                <w:szCs w:val="20"/>
                <w:color w:val="auto"/>
              </w:rPr>
            </w:pPr>
            <w:r>
              <w:rPr>
                <w:rFonts w:ascii="Arial" w:cs="Arial" w:eastAsia="Arial" w:hAnsi="Arial"/>
                <w:sz w:val="18"/>
                <w:szCs w:val="18"/>
                <w:color w:val="auto"/>
              </w:rPr>
              <w:t>Tranche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jc w:val="right"/>
              <w:ind w:right="7160"/>
              <w:spacing w:after="0"/>
              <w:rPr>
                <w:sz w:val="20"/>
                <w:szCs w:val="20"/>
                <w:color w:val="auto"/>
              </w:rPr>
            </w:pPr>
            <w:r>
              <w:rPr>
                <w:rFonts w:ascii="Arial" w:cs="Arial" w:eastAsia="Arial" w:hAnsi="Arial"/>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020" w:type="dxa"/>
            <w:vAlign w:val="bottom"/>
            <w:gridSpan w:val="2"/>
          </w:tcPr>
          <w:p>
            <w:pPr>
              <w:jc w:val="right"/>
              <w:ind w:right="7160"/>
              <w:spacing w:after="0"/>
              <w:rPr>
                <w:sz w:val="20"/>
                <w:szCs w:val="20"/>
                <w:color w:val="auto"/>
              </w:rPr>
            </w:pPr>
            <w:r>
              <w:rPr>
                <w:rFonts w:ascii="Arial" w:cs="Arial" w:eastAsia="Arial" w:hAnsi="Arial"/>
                <w:sz w:val="18"/>
                <w:szCs w:val="18"/>
                <w:color w:val="auto"/>
              </w:rPr>
              <w:t>Tranche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Short-Term</w:t>
            </w: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8020" w:type="dxa"/>
            <w:vAlign w:val="bottom"/>
            <w:tcBorders>
              <w:bottom w:val="single" w:sz="8" w:color="CCEEFF"/>
            </w:tcBorders>
            <w:gridSpan w:val="2"/>
            <w:shd w:val="clear" w:color="auto" w:fill="CCEEFF"/>
          </w:tcPr>
          <w:p>
            <w:pPr>
              <w:jc w:val="right"/>
              <w:ind w:right="7180"/>
              <w:spacing w:after="0"/>
              <w:rPr>
                <w:sz w:val="20"/>
                <w:szCs w:val="20"/>
                <w:color w:val="auto"/>
              </w:rPr>
            </w:pPr>
            <w:r>
              <w:rPr>
                <w:rFonts w:ascii="Arial" w:cs="Arial" w:eastAsia="Arial" w:hAnsi="Arial"/>
                <w:sz w:val="18"/>
                <w:szCs w:val="18"/>
                <w:color w:val="auto"/>
                <w:w w:val="93"/>
              </w:rPr>
              <w:t>Long-Term</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2"/>
          </w:tcPr>
          <w:p>
            <w:pPr>
              <w:jc w:val="right"/>
              <w:ind w:right="7160"/>
              <w:spacing w:after="0"/>
              <w:rPr>
                <w:sz w:val="20"/>
                <w:szCs w:val="20"/>
                <w:color w:val="auto"/>
              </w:rPr>
            </w:pPr>
            <w:r>
              <w:rPr>
                <w:rFonts w:ascii="Arial" w:cs="Arial" w:eastAsia="Arial" w:hAnsi="Arial"/>
                <w:sz w:val="18"/>
                <w:szCs w:val="18"/>
                <w:color w:val="auto"/>
              </w:rPr>
              <w:t>Tranche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jc w:val="right"/>
              <w:ind w:right="7160"/>
              <w:spacing w:after="0"/>
              <w:rPr>
                <w:sz w:val="20"/>
                <w:szCs w:val="20"/>
                <w:color w:val="auto"/>
              </w:rPr>
            </w:pPr>
            <w:r>
              <w:rPr>
                <w:rFonts w:ascii="Arial" w:cs="Arial" w:eastAsia="Arial" w:hAnsi="Arial"/>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020" w:type="dxa"/>
            <w:vAlign w:val="bottom"/>
            <w:gridSpan w:val="2"/>
          </w:tcPr>
          <w:p>
            <w:pPr>
              <w:jc w:val="right"/>
              <w:ind w:right="7160"/>
              <w:spacing w:after="0"/>
              <w:rPr>
                <w:sz w:val="20"/>
                <w:szCs w:val="20"/>
                <w:color w:val="auto"/>
              </w:rPr>
            </w:pPr>
            <w:r>
              <w:rPr>
                <w:rFonts w:ascii="Arial" w:cs="Arial" w:eastAsia="Arial" w:hAnsi="Arial"/>
                <w:sz w:val="18"/>
                <w:szCs w:val="18"/>
                <w:color w:val="auto"/>
              </w:rPr>
              <w:t>Tranche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jc w:val="right"/>
              <w:ind w:right="7160"/>
              <w:spacing w:after="0"/>
              <w:rPr>
                <w:sz w:val="20"/>
                <w:szCs w:val="20"/>
                <w:color w:val="auto"/>
              </w:rPr>
            </w:pPr>
            <w:r>
              <w:rPr>
                <w:rFonts w:ascii="Arial" w:cs="Arial" w:eastAsia="Arial" w:hAnsi="Arial"/>
                <w:sz w:val="18"/>
                <w:szCs w:val="18"/>
                <w:color w:val="auto"/>
              </w:rPr>
              <w:t>Tranche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020" w:type="dxa"/>
            <w:vAlign w:val="bottom"/>
            <w:gridSpan w:val="2"/>
          </w:tcPr>
          <w:p>
            <w:pPr>
              <w:jc w:val="right"/>
              <w:ind w:right="7160"/>
              <w:spacing w:after="0"/>
              <w:rPr>
                <w:sz w:val="20"/>
                <w:szCs w:val="20"/>
                <w:color w:val="auto"/>
              </w:rPr>
            </w:pPr>
            <w:r>
              <w:rPr>
                <w:rFonts w:ascii="Arial" w:cs="Arial" w:eastAsia="Arial" w:hAnsi="Arial"/>
                <w:sz w:val="18"/>
                <w:szCs w:val="18"/>
                <w:color w:val="auto"/>
              </w:rPr>
              <w:t>Tranche 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w:t>
            </w: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of September 30, 2022,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progress toward completing the integrated automobile insurance solution for Carvana’s car buying platform, or Integrated Platform, and policies originating through the Integrated Platform. During the three months ended September 30, 2022, the Integrated Platform launched and as a result, tranche 1 of our short-term warrants vested. There were no exercises upon vesting and all warrants remain outstanding. All of these warrants are out-of-the-money and therefore have no intrinsic value as of September 30, 2022.</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warrant compensation expense recorded in the condensed consolidated statements of operations and comprehensive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8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472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94"/>
        </w:trPr>
        <w:tc>
          <w:tcPr>
            <w:tcW w:w="4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6"/>
          </w:tcPr>
          <w:p>
            <w:pPr>
              <w:ind w:left="10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compensation expense:</w:t>
            </w: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insurance expense (benefit)</w:t>
            </w: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4720" w:type="dxa"/>
            <w:vAlign w:val="bottom"/>
          </w:tcPr>
          <w:p>
            <w:pPr>
              <w:ind w:left="240"/>
              <w:spacing w:after="0"/>
              <w:rPr>
                <w:sz w:val="20"/>
                <w:szCs w:val="20"/>
                <w:color w:val="auto"/>
              </w:rPr>
            </w:pPr>
            <w:r>
              <w:rPr>
                <w:rFonts w:ascii="Arial" w:cs="Arial" w:eastAsia="Arial" w:hAnsi="Arial"/>
                <w:sz w:val="18"/>
                <w:szCs w:val="18"/>
                <w:color w:val="auto"/>
              </w:rPr>
              <w:t>Total warrant compensation expense</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1"/>
        </w:trPr>
        <w:tc>
          <w:tcPr>
            <w:tcW w:w="4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2022, there was $25.4 million of unrecognized compensation cost related to warrants. The remaining costs are expected to be recognized over a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Share-Based Compensation</w:t>
      </w:r>
    </w:p>
    <w:p>
      <w:pPr>
        <w:spacing w:after="0" w:line="17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We maintain an equity incentive plan for the issuance and grant of equity awards (restricted stock, restricted stock units, or RSUs, and incentive and nonqualified stock options) to our officers, directors, employees and certain advisors. As of September 30, 2022, we had 1.6 million common shares authorized and available for issuance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share-based compensation expense recorded in the condensed consolidated statements of operations and comprehensive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470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194"/>
        </w:trPr>
        <w:tc>
          <w:tcPr>
            <w:tcW w:w="4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Other insurance expense (benefit)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total share-based compensation expense by type of award: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94"/>
        </w:trPr>
        <w:tc>
          <w:tcPr>
            <w:tcW w:w="4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Restricted stock unit expense</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part of the January 2022 organizational realignment discussed in Note 9, “Restructuring Costs,” we modified certain share-based awards which resulted in zero and $2.1 million of share-based compensation expense recognized in general and administrative expenses during the three and nine months ended September 30, 2022, respectively.</w:t>
      </w:r>
    </w:p>
    <w:p>
      <w:pPr>
        <w:spacing w:after="0" w:line="13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September 30, 2022, there was $2.7 million and $55.5 million of unrecognized compensation cost related to unvested stock options and RSUs, respectively. The remaining costs are expected to be recognized over a period of approximately four years for unvested stock options and four years for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nine months ended September 30, 2022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 September 30, 2022</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1"/>
                <w:szCs w:val="11"/>
                <w:color w:val="auto"/>
              </w:rPr>
            </w:pPr>
          </w:p>
        </w:tc>
        <w:tc>
          <w:tcPr>
            <w:tcW w:w="14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44"/>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5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42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w w:val="98"/>
              </w:rPr>
              <w:t>Grant Date Fair</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Value per Share</w:t>
            </w:r>
          </w:p>
        </w:tc>
        <w:tc>
          <w:tcPr>
            <w:tcW w:w="220" w:type="dxa"/>
            <w:vAlign w:val="bottom"/>
          </w:tcPr>
          <w:p>
            <w:pPr>
              <w:spacing w:after="0"/>
              <w:rPr>
                <w:sz w:val="17"/>
                <w:szCs w:val="17"/>
                <w:color w:val="auto"/>
              </w:rPr>
            </w:pPr>
          </w:p>
        </w:tc>
        <w:tc>
          <w:tcPr>
            <w:tcW w:w="1420" w:type="dxa"/>
            <w:vAlign w:val="bottom"/>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6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0" w:type="dxa"/>
            <w:vAlign w:val="bottom"/>
          </w:tcPr>
          <w:p>
            <w:pPr>
              <w:spacing w:after="0"/>
              <w:rPr>
                <w:sz w:val="1"/>
                <w:szCs w:val="1"/>
                <w:color w:val="auto"/>
              </w:rPr>
            </w:pPr>
          </w:p>
        </w:tc>
      </w:tr>
      <w:tr>
        <w:trPr>
          <w:trHeight w:val="238"/>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560" w:type="dxa"/>
            <w:vAlign w:val="bottom"/>
            <w:shd w:val="clear" w:color="auto" w:fill="CCEEFF"/>
          </w:tcPr>
          <w:p>
            <w:pPr>
              <w:jc w:val="center"/>
              <w:ind w:left="1097"/>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162.36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center"/>
              <w:ind w:left="1097"/>
              <w:spacing w:after="0"/>
              <w:rPr>
                <w:sz w:val="20"/>
                <w:szCs w:val="20"/>
                <w:color w:val="auto"/>
              </w:rPr>
            </w:pPr>
            <w:r>
              <w:rPr>
                <w:rFonts w:ascii="Arial" w:cs="Arial" w:eastAsia="Arial" w:hAnsi="Arial"/>
                <w:sz w:val="18"/>
                <w:szCs w:val="18"/>
                <w:color w:val="auto"/>
                <w:w w:val="87"/>
              </w:rPr>
              <w:t>1.1</w:t>
            </w:r>
          </w:p>
        </w:tc>
        <w:tc>
          <w:tcPr>
            <w:tcW w:w="26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34.07</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center"/>
              <w:ind w:left="1077"/>
              <w:spacing w:after="0"/>
              <w:rPr>
                <w:sz w:val="20"/>
                <w:szCs w:val="20"/>
                <w:color w:val="auto"/>
              </w:rPr>
            </w:pPr>
            <w:r>
              <w:rPr>
                <w:rFonts w:ascii="Arial" w:cs="Arial" w:eastAsia="Arial" w:hAnsi="Arial"/>
                <w:sz w:val="18"/>
                <w:szCs w:val="18"/>
                <w:color w:val="auto"/>
                <w:w w:val="97"/>
              </w:rPr>
              <w:t>(0.1)</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180.18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center"/>
              <w:ind w:left="1077"/>
              <w:spacing w:after="0"/>
              <w:rPr>
                <w:sz w:val="20"/>
                <w:szCs w:val="20"/>
                <w:color w:val="auto"/>
              </w:rPr>
            </w:pPr>
            <w:r>
              <w:rPr>
                <w:rFonts w:ascii="Arial" w:cs="Arial" w:eastAsia="Arial" w:hAnsi="Arial"/>
                <w:sz w:val="18"/>
                <w:szCs w:val="18"/>
                <w:color w:val="auto"/>
                <w:w w:val="97"/>
              </w:rPr>
              <w:t>(0.2)</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114.94</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September 30, 2022</w:t>
            </w:r>
          </w:p>
        </w:tc>
        <w:tc>
          <w:tcPr>
            <w:tcW w:w="1560" w:type="dxa"/>
            <w:vAlign w:val="bottom"/>
            <w:tcBorders>
              <w:bottom w:val="single" w:sz="8" w:color="auto"/>
            </w:tcBorders>
            <w:shd w:val="clear" w:color="auto" w:fill="CCEEFF"/>
          </w:tcPr>
          <w:p>
            <w:pPr>
              <w:jc w:val="center"/>
              <w:ind w:left="1097"/>
              <w:spacing w:after="0"/>
              <w:rPr>
                <w:sz w:val="20"/>
                <w:szCs w:val="20"/>
                <w:color w:val="auto"/>
              </w:rPr>
            </w:pPr>
            <w:r>
              <w:rPr>
                <w:rFonts w:ascii="Arial" w:cs="Arial" w:eastAsia="Arial" w:hAnsi="Arial"/>
                <w:sz w:val="18"/>
                <w:szCs w:val="18"/>
                <w:color w:val="auto"/>
                <w:w w:val="87"/>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for the nine months ended September 30, 2022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Nine Months Ended September 30, 2022</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5"/>
              </w:rPr>
              <w:t>Weighted-Average</w:t>
            </w:r>
          </w:p>
        </w:tc>
        <w:tc>
          <w:tcPr>
            <w:tcW w:w="1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1"/>
                <w:szCs w:val="11"/>
                <w:color w:val="auto"/>
              </w:rPr>
            </w:pPr>
          </w:p>
        </w:tc>
        <w:tc>
          <w:tcPr>
            <w:tcW w:w="14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48"/>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Exercise Price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(in millions, except exercise price and term amounts)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January 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42.48</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21.42</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6.60</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83.60</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39.28</w:t>
            </w:r>
          </w:p>
        </w:tc>
        <w:tc>
          <w:tcPr>
            <w:tcW w:w="1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5.99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or the Exchange Act, and Rule 10b-5 thereunder, and of Sections 11 and 15 of the Securities Act of 1933, or the Securities Act, in connection with and following the Company’s initial public offering. The complaint seeks unspecified damages. The defendants have moved to dismiss the claims set forth in the complaint.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Exchange Act and Rule 10b-5 thereunder, breached their fiduciary duties and/or aided and abetted the breach of fiduciary duties, were unjustly enriched, wasted corporate assets, and are liable under Section 11(f) of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resolution of the motion to dismiss filed by the defendants in the above matter and, at this time, we are unable to predict the outcome and we cannot estimate the likelihood or magnitude of our possible or potential loss contingency.</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11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AND ACCUMULATED OTHER COMPREHENSIVE (LOSS)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our accumulated other comprehensive (loss) income, or AOCI,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74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94"/>
        </w:trPr>
        <w:tc>
          <w:tcPr>
            <w:tcW w:w="5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87"/>
              </w:rPr>
              <w:t>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7"/>
              </w:rPr>
              <w:t>5.6</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left="635"/>
              <w:spacing w:after="0"/>
              <w:rPr>
                <w:sz w:val="20"/>
                <w:szCs w:val="20"/>
                <w:color w:val="auto"/>
              </w:rPr>
            </w:pPr>
            <w:r>
              <w:rPr>
                <w:rFonts w:ascii="Arial" w:cs="Arial" w:eastAsia="Arial" w:hAnsi="Arial"/>
                <w:sz w:val="18"/>
                <w:szCs w:val="18"/>
                <w:color w:val="auto"/>
                <w:w w:val="91"/>
              </w:rPr>
              <w:t>(7.4)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553"/>
              <w:spacing w:after="0"/>
              <w:rPr>
                <w:sz w:val="20"/>
                <w:szCs w:val="20"/>
                <w:color w:val="auto"/>
              </w:rPr>
            </w:pPr>
            <w:r>
              <w:rPr>
                <w:rFonts w:ascii="Arial" w:cs="Arial" w:eastAsia="Arial" w:hAnsi="Arial"/>
                <w:sz w:val="18"/>
                <w:szCs w:val="18"/>
                <w:color w:val="auto"/>
                <w:w w:val="97"/>
              </w:rPr>
              <w:t>(1.6)</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realized losses (gains) on investments reclassified from AOCI to net loss</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7"/>
              </w:rPr>
              <w:t>(2.4)</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8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left="635"/>
              <w:spacing w:after="0"/>
              <w:rPr>
                <w:sz w:val="20"/>
                <w:szCs w:val="20"/>
                <w:color w:val="auto"/>
              </w:rPr>
            </w:pPr>
            <w:r>
              <w:rPr>
                <w:rFonts w:ascii="Arial" w:cs="Arial" w:eastAsia="Arial" w:hAnsi="Arial"/>
                <w:sz w:val="18"/>
                <w:szCs w:val="18"/>
                <w:color w:val="auto"/>
                <w:w w:val="91"/>
              </w:rPr>
              <w:t>(7.3)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left="553"/>
              <w:spacing w:after="0"/>
              <w:rPr>
                <w:sz w:val="20"/>
                <w:szCs w:val="20"/>
                <w:color w:val="auto"/>
              </w:rPr>
            </w:pPr>
            <w:r>
              <w:rPr>
                <w:rFonts w:ascii="Arial" w:cs="Arial" w:eastAsia="Arial" w:hAnsi="Arial"/>
                <w:sz w:val="18"/>
                <w:szCs w:val="18"/>
                <w:color w:val="auto"/>
                <w:w w:val="97"/>
              </w:rPr>
              <w:t>(4.0)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635"/>
              <w:spacing w:after="0"/>
              <w:rPr>
                <w:sz w:val="20"/>
                <w:szCs w:val="20"/>
                <w:color w:val="auto"/>
              </w:rPr>
            </w:pPr>
            <w:r>
              <w:rPr>
                <w:rFonts w:ascii="Arial" w:cs="Arial" w:eastAsia="Arial" w:hAnsi="Arial"/>
                <w:sz w:val="18"/>
                <w:szCs w:val="18"/>
                <w:color w:val="auto"/>
                <w:w w:val="91"/>
              </w:rPr>
              <w:t>(6.9)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573"/>
              <w:spacing w:after="0"/>
              <w:rPr>
                <w:sz w:val="20"/>
                <w:szCs w:val="20"/>
                <w:color w:val="auto"/>
              </w:rPr>
            </w:pPr>
            <w:r>
              <w:rPr>
                <w:rFonts w:ascii="Arial" w:cs="Arial" w:eastAsia="Arial" w:hAnsi="Arial"/>
                <w:sz w:val="18"/>
                <w:szCs w:val="18"/>
                <w:color w:val="auto"/>
                <w:w w:val="87"/>
              </w:rPr>
              <w:t>1.6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August 2022, a subcommittee of our Board of Directors approved a reverse stock split of our Class A and Class B common stock at a ratio of 1-for-18, which became effective on August 12, 2022. Accordingly, all stock, equity award, warrant, and per share amounts have been adjusted to reflect the reverse stock split for all prior periods presented.</w:t>
      </w:r>
    </w:p>
    <w:p>
      <w:pPr>
        <w:spacing w:after="0" w:line="130"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displays the computation of basic and diluted loss per share for both Class A and Class B common stock for the three and nine months ended September 30,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76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8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B)</w:t>
            </w: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spacing w:after="0" w:line="37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32385</wp:posOffset>
            </wp:positionV>
            <wp:extent cx="20485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32385</wp:posOffset>
            </wp:positionV>
            <wp:extent cx="20485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to purchase common stock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shares subject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stock units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Redeemable convertible preferred stock (as converted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 to purchase common stock</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12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GROSS WRITTEN PREMIUM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Gross written premium by state is as follows for the three and nine months ended September 30, 2022 and 2021: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0.2</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0.1</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0.8</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14605</wp:posOffset>
            </wp:positionV>
            <wp:extent cx="994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14605</wp:posOffset>
            </wp:positionV>
            <wp:extent cx="994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-753110</wp:posOffset>
            </wp:positionH>
            <wp:positionV relativeFrom="paragraph">
              <wp:posOffset>40640</wp:posOffset>
            </wp:positionV>
            <wp:extent cx="994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0.1</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0.5</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14605</wp:posOffset>
            </wp:positionV>
            <wp:extent cx="994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14605</wp:posOffset>
            </wp:positionV>
            <wp:extent cx="9944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40640</wp:posOffset>
            </wp:positionV>
            <wp:extent cx="9944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892" w:lineRule="exact"/>
        <w:rPr>
          <w:sz w:val="20"/>
          <w:szCs w:val="20"/>
          <w:color w:val="auto"/>
        </w:rPr>
      </w:pPr>
    </w:p>
    <w:p>
      <w:pPr>
        <w:sectPr>
          <w:pgSz w:w="11900" w:h="16838" w:orient="portrait"/>
          <w:cols w:equalWidth="0" w:num="3">
            <w:col w:w="8480" w:space="720"/>
            <w:col w:w="1020" w:space="720"/>
            <w:col w:w="300"/>
          </w:cols>
          <w:pgMar w:left="320" w:top="1440" w:right="339" w:bottom="1440" w:gutter="0" w:footer="0" w:header="0"/>
          <w:type w:val="continuous"/>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Nine Months Ended September 30,</w:t>
            </w:r>
          </w:p>
        </w:tc>
        <w:tc>
          <w:tcPr>
            <w:tcW w:w="940" w:type="dxa"/>
            <w:vAlign w:val="bottom"/>
          </w:tcPr>
          <w:p>
            <w:pPr>
              <w:spacing w:after="0"/>
              <w:rPr>
                <w:sz w:val="16"/>
                <w:szCs w:val="16"/>
                <w:color w:val="auto"/>
              </w:rPr>
            </w:pPr>
          </w:p>
        </w:tc>
      </w:tr>
      <w:tr>
        <w:trPr>
          <w:trHeight w:val="26"/>
        </w:trPr>
        <w:tc>
          <w:tcPr>
            <w:tcW w:w="2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2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r>
      <w:tr>
        <w:trPr>
          <w:trHeight w:val="196"/>
        </w:trPr>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of Total</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of Total</w:t>
            </w: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ind w:left="400"/>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Georgia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10.5</w:t>
            </w: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Louisiana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Utah</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4.4</w:t>
            </w: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3.5</w:t>
            </w: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Indiana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2.9</w:t>
            </w: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35.1</w:t>
            </w:r>
          </w:p>
        </w:tc>
      </w:tr>
      <w:tr>
        <w:trPr>
          <w:trHeight w:val="223"/>
        </w:trPr>
        <w:tc>
          <w:tcPr>
            <w:tcW w:w="202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9, 2022, we initiated a company-wide involuntary workforce reduction involving approximately 160 employees, which represented approximately 20% of our workforce. The action was taken as part of our efforts to improve efficiency and operating costs, and prioritize resources to further strengthen our pricing and underwriting foundation and the continued development of our embedded products. A majority of the affected employees were notified on November 9, 2022, with most job eliminations effective in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fourth quarter of 2022, we expect to recognize charges of approximately $10.5 million to $11.5 million in general and administrative expenses on the condensed consolidated statements of operations and comprehensive income for severance, benefits and related costs as a result of these actions. Approximately $7.0 million to $7.5 million of these charges are expected to result in cash expenditures in the same period. We also expect to incur approximately $8.0 million to $8.5 million of employee compensation expense, dependent upon continuous employment, recognized ratably through the fourth quarter of 2023, we expect a cash expenditure in the first quarter of 2024. We continue to review the potential impact of the realignment, including additional employee-related costs, and are unable to estimate any additional restructuring costs or charges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2021 filed with the Securities and Exchange Commission, or SEC, on February 23, 2022, or the 2021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2021 10-K for a discussion of important factors that could cause our actual results to differ materially from those anticipated in these forward-looking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Root is a technology company revolutionizing personal insurance with a pricing model based upon fairness and a modern customer experience. We operate a direct-to-consumer model in which we currently acquire customers through mobile applications and our embedded platform.</w:t>
      </w:r>
    </w:p>
    <w:p>
      <w:pPr>
        <w:spacing w:after="0" w:line="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believe the $273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the Root advantage is derived from our unique ability to efficiently and effectively bind auto insurance policies quickly through direct and embedded distribution channels, aided by segmenting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w:t>
      </w:r>
    </w:p>
    <w:p>
      <w:pPr>
        <w:spacing w:after="0" w:line="13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Our model benefits from portfolio maturity. As we scale the business, our results are, at times, disproportionately weighted towards new customers compared to traditional insurance carriers. As we build an underlying base of recurring customers, we expect the following financial impacts:</w:t>
      </w:r>
    </w:p>
    <w:p>
      <w:pPr>
        <w:spacing w:after="0" w:line="70" w:lineRule="exact"/>
        <w:rPr>
          <w:sz w:val="20"/>
          <w:szCs w:val="20"/>
          <w:color w:val="auto"/>
        </w:rPr>
      </w:pPr>
    </w:p>
    <w:p>
      <w:pPr>
        <w:ind w:left="660" w:right="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loss ratio. </w:t>
      </w:r>
      <w:r>
        <w:rPr>
          <w:rFonts w:ascii="Arial" w:cs="Arial" w:eastAsia="Arial" w:hAnsi="Arial"/>
          <w:sz w:val="18"/>
          <w:szCs w:val="18"/>
          <w:color w:val="auto"/>
        </w:rPr>
        <w:t>Renewal premiums, referring to premiums from a customer’s second term and beyond, have lower loss ratios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premiums in the customer’s first term. As we grow our business, we anticipate, consistent with industry norms, that a greater proportion of our premiums will be from customer renewals and drive down the loss ratio across our portfolio.</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marketing as a percentage of premium. </w:t>
      </w:r>
      <w:r>
        <w:rPr>
          <w:rFonts w:ascii="Arial" w:cs="Arial" w:eastAsia="Arial" w:hAnsi="Arial"/>
          <w:sz w:val="18"/>
          <w:szCs w:val="18"/>
          <w:color w:val="auto"/>
        </w:rPr>
        <w:t>Certain recurring customer premiums have no associated customer acquisition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minimal underwriting costs, driving profitability. As we grow our business, we anticipate, consistent with industry norms, that a greater proportion of our premiums will be from customer renewals without associated marketing costs.</w:t>
      </w:r>
    </w:p>
    <w:p>
      <w:pPr>
        <w:spacing w:after="0" w:line="129" w:lineRule="exact"/>
        <w:rPr>
          <w:rFonts w:ascii="Arial" w:cs="Arial" w:eastAsia="Arial" w:hAnsi="Arial"/>
          <w:sz w:val="18"/>
          <w:szCs w:val="18"/>
          <w:color w:val="auto"/>
        </w:rPr>
      </w:pPr>
    </w:p>
    <w:p>
      <w:pPr>
        <w:ind w:left="660" w:right="180" w:hanging="328"/>
        <w:spacing w:after="0" w:line="30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Improved retention. </w:t>
      </w:r>
      <w:r>
        <w:rPr>
          <w:rFonts w:ascii="Arial" w:cs="Arial" w:eastAsia="Arial" w:hAnsi="Arial"/>
          <w:sz w:val="16"/>
          <w:szCs w:val="16"/>
          <w:color w:val="auto"/>
        </w:rPr>
        <w:t>As a young insurance carrier weighted towards new customers, we naturally have a higher percentage of more frequent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shoppers. As our business tenures and our flywheel spins, allowing us to increase our pricing advantage, we will have the opportunity to acquire more long-standing customers and retain those that might naturally shop frequently. In addition to a pricing advantage, we anticipate our expanding relationships with customers through product bundling will demonstrate further improvement in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4" w:lineRule="exact"/>
        <w:rPr>
          <w:sz w:val="20"/>
          <w:szCs w:val="20"/>
          <w:color w:val="auto"/>
        </w:rPr>
      </w:pPr>
    </w:p>
    <w:p>
      <w:pPr>
        <w:ind w:left="660" w:right="3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through enhancements to our usage-based insurance model and take appropriate rate actions. We efficiently acquire customers directly through multiple channels, including embedded, digital (performance), channel media, referrals and agency. Our marketing costs have historically been well below industry averages, although in any given period, these costs can vary by channel mix, by state, or due to seasonality or the competitive environment. Today, we acquire our customers through the embedded platform, our website, mobile app and mobile website. We believe that through prudent investment in and diversification of our marketing channels, including a focus on embedded insurance through our exclusive partnership with Carvana Group, LLC, or Carvana, and leveraging proprietary data science and technology to build out products and relationships that will position us for more sustainable, long-term and profitable growth. Additionally, we are realizing operating efficiencies as we scale against our fixed expense base. Our claims management expenses, as represented by our loss adjustment expenses, or LAE, are in line with peers within only four years of bringing claims management in-house and are expected to improve as we further embed machine learning into our processes.</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full-stack insurance company, we currently employ a “capital-light”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 We expect to maintain an elevated level of third-party quota share reinsurance in order to operate a capital light business model. As our business scales, we expect to have the flexibility to reduce our quota share levels to maximize the return to shareholders.</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capital requirements, which are relieved, in part, by obtaining reinsurance. The gross basis metrics include gross written premium, gross earned premium, direct contribution, ratio of direct contribution to total revenue, ratio of direct contribution to gross earned premium, gross loss ratio, gross LAE ratio and gross accident period loss ratio.</w:t>
      </w:r>
    </w:p>
    <w:p>
      <w:pPr>
        <w:spacing w:after="0" w:line="138"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metrics, see “— Key Performance Indicators,” and for a reconciliation of our non-GAAP measures to the most directly comparable generally accepted accounting principles in the United States, or GAAP, measures, see “— Non-GAAP Financial Measures.”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March 2020, the World Health Organization declared COVID-19 a global pandemic.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economic instability caused by the COVID-19 pandemic has led to acute inflationary pressures, supply chain disruptions, rising interest rates and a downturn in equity markets. There is a risk of inflation remaining elevated for an extended period, which could cause claims and claim expenses to increase, impact the performance of our investment portfolio or have other adverse effects. Rising interest rates and reduced equity values have increased the cost of capital and may limit our ability to raise additional capital. In addition, we have seen an increase in the value of used vehicles and replacement parts. These cost increases have resulted in greater claims severity while being partially offset by higher subrogation recoveries on damaged vehicles. We continue to file in multiple states to establish rates that more closely follow the evolving loss cost trends.</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the COVID-19 pandemic continues, there is ongoing uncertainty around the severity and duration of the pandemic and the pandemic’s potential impact on our business and our financial performance. See the section titled “Risk Factors” in the 2021 10-K for more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Reinsurance</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net premiums earned, net investment income, net realized gains on investments, and fee and other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Net investment income represents interest earned from our fixed maturity and short-term investments and cash and cash equivalents less investment expenses and unrealized gains from our private equity investments. Net investment income is directly correlated with the overall size of our investment portfolio, market level of interest rates and changes in fair value of our private equity investments. Net investment income will vary with the size of our investment portfolio, market returns and the investment strategy.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on Investments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realized gains on investments represents the difference between the amount received by us on the sale of an investment as compared to the investment’s amortized cost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Other income is primarily comprised of revenue earned from distributing website and app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operating expenses consist of loss and LAE, sales and marketing, other insurance expense (benefit), technology and development, and general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jc w:val="both"/>
        <w:ind w:right="380"/>
        <w:spacing w:after="0" w:line="275"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2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Loss and LAE may be paid out over a period of years.</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Various other expenses incurred during claims processing are considered LAE. These amounts include claims salaries, health benefits, bonuses, employee retirement plan related expenses and employee share-based compensation expense, or Personnel Costs; software expense; internally developed software amortization; and overhead allocated based on headcount, or Overhead.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Sales and marketing expense includes spending related to performance and embedded channels, channel media, advertising, branding, public relations, consumer insights and referral fees. These expenses also include related Personnel Costs, Overhead and warrant compensation expense related to our embedded channel. We incur sales and marketing expenses for all product offerings. Sales and marketing are expensed as incurred. Certain warrant compensation expense is recognized on a pro-rata basis considering progress toward completing the Integrated Platform under the Carvana commercial agreement.</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plan to continue investing in and diversifying our marketing channels to attract and acquire new customers, increase our brand awareness, and expand our product offerings within certain markets. We expect that in the long term, our sales and marketing will decrease as a percentage of revenue as the proportion of renewals to our total business increases.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 Expense (Benefit)</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Other insurance expense (benefit) includes underwriting expenses, credit card and policy processing expenses, premium write-offs, insurance license expenses, warrant compensation expense related to our embedded channel, and Personnel Costs and Overhead related to actuarial and certain data science activities. Other insurance expense (benefit) also includes amortization of deferred acquisition costs like premium taxes and report costs related to the successful acquisition of a policy. Other insurance expense (benefit) is expensed as incurred, except for costs related to deferred acquisition costs that are capitalized and subsequently amortized over the same period in which the related premiums are earned. These expenses are also recognized net of ceding commissions earned. Certain warrant compensation expense is recognized on a pro-rata basis for policies originated from the Integrated Platform towards milestones as defined under the Carvana commercial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General and administrative expenses primarily relate to external professional service expenses; Personnel Costs and Overhead for corporate functions; depreciation expense for computers, furniture and other fixed assets; and restructuring costs associated with organizational realignment. General and administrative expenses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expect general and administrative expenses to decrease as a percentage of total revenue over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direct contribution and adjusted EBITDA and their reconciliations to the most directly comparable GAAP measures.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26"/>
        </w:trPr>
        <w:tc>
          <w:tcPr>
            <w:tcW w:w="4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3"/>
              </w:rPr>
              <w:t>(dollars in millions, except premiums per policy)</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 force</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4400" w:type="dxa"/>
            <w:vAlign w:val="bottom"/>
          </w:tcPr>
          <w:p>
            <w:pPr>
              <w:ind w:left="240"/>
              <w:spacing w:after="0"/>
              <w:rPr>
                <w:sz w:val="20"/>
                <w:szCs w:val="20"/>
                <w:color w:val="auto"/>
              </w:rPr>
            </w:pPr>
            <w:r>
              <w:rPr>
                <w:rFonts w:ascii="Arial" w:cs="Arial" w:eastAsia="Arial" w:hAnsi="Arial"/>
                <w:sz w:val="18"/>
                <w:szCs w:val="18"/>
                <w:color w:val="auto"/>
              </w:rPr>
              <w:t>Auto</w:t>
            </w:r>
          </w:p>
        </w:tc>
        <w:tc>
          <w:tcPr>
            <w:tcW w:w="34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255,279</w:t>
            </w:r>
          </w:p>
        </w:tc>
        <w:tc>
          <w:tcPr>
            <w:tcW w:w="200" w:type="dxa"/>
            <w:vAlign w:val="bottom"/>
          </w:tcPr>
          <w:p>
            <w:pPr>
              <w:spacing w:after="0"/>
              <w:rPr>
                <w:sz w:val="21"/>
                <w:szCs w:val="21"/>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380,836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255,279</w:t>
            </w:r>
          </w:p>
        </w:tc>
        <w:tc>
          <w:tcPr>
            <w:tcW w:w="4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380,836</w:t>
            </w:r>
          </w:p>
        </w:tc>
      </w:tr>
      <w:tr>
        <w:trPr>
          <w:trHeight w:val="26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6,964</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6,964</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9,143</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Premiums per policy</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1,150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986</w:t>
            </w:r>
          </w:p>
        </w:tc>
      </w:tr>
      <w:tr>
        <w:trPr>
          <w:trHeight w:val="250"/>
        </w:trPr>
        <w:tc>
          <w:tcPr>
            <w:tcW w:w="4400" w:type="dxa"/>
            <w:vAlign w:val="bottom"/>
          </w:tcPr>
          <w:p>
            <w:pPr>
              <w:ind w:left="240"/>
              <w:spacing w:after="0"/>
              <w:rPr>
                <w:sz w:val="20"/>
                <w:szCs w:val="20"/>
                <w:color w:val="auto"/>
              </w:rPr>
            </w:pPr>
            <w:r>
              <w:rPr>
                <w:rFonts w:ascii="Arial" w:cs="Arial" w:eastAsia="Arial" w:hAnsi="Arial"/>
                <w:sz w:val="18"/>
                <w:szCs w:val="18"/>
                <w:color w:val="auto"/>
              </w:rPr>
              <w:t>Renters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139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139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140</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in force</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4400" w:type="dxa"/>
            <w:vAlign w:val="bottom"/>
          </w:tcPr>
          <w:p>
            <w:pPr>
              <w:ind w:left="240"/>
              <w:spacing w:after="0"/>
              <w:rPr>
                <w:sz w:val="20"/>
                <w:szCs w:val="20"/>
                <w:color w:val="auto"/>
              </w:rPr>
            </w:pPr>
            <w:r>
              <w:rPr>
                <w:rFonts w:ascii="Arial" w:cs="Arial" w:eastAsia="Arial" w:hAnsi="Arial"/>
                <w:sz w:val="18"/>
                <w:szCs w:val="18"/>
                <w:color w:val="auto"/>
              </w:rPr>
              <w:t>Auto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587.1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587.1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751.0</w:t>
            </w:r>
          </w:p>
        </w:tc>
      </w:tr>
      <w:tr>
        <w:trPr>
          <w:trHeight w:val="26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Gross written premium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150.7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478.0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584.2</w:t>
            </w:r>
          </w:p>
        </w:tc>
      </w:tr>
      <w:tr>
        <w:trPr>
          <w:trHeight w:val="27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500.8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530.3</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(28.1)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(28.7)</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(230.3)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(411.2)</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r>
      <w:tr>
        <w:trPr>
          <w:trHeight w:val="263"/>
        </w:trPr>
        <w:tc>
          <w:tcPr>
            <w:tcW w:w="440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11.5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17.7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12.3</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(162.4)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(372.7)</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Gross loss ratio</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83.2 %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85.2 %</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LAE ratio</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Gross accident period loss ratio</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81.9 %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86.5 %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in Force</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policies drive our revenue, brand awareness, our market penetration, and generates additional data to continue to improve the functioning of our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per Policy</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define premiums per policy as the ratio of gross written premium on policies in force at the end of the period divided by policies in force. We view premiums per policy as an important metric since the higher the premiums per policy the greater the amount of earned premium we expect from each policy.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in Force</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define premiums in force for our auto policies as premiums per policy multiplied by policies in force multiplied by two. We view premiums in force as an estimate of annualized run rate of gross written premium as of a given period. Since our auto policies are six-month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Written Premium</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define gross written premium as the total amount of gross premium on policies that were bound during the period less the prorated impact of policy cancellations. Gross written premiums include direct premiums and assumed premiums. We view gross written premium as an important metric because it is the metric that most closely correlates with our growth in gross earned premium. We use gross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Earned Premium</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define gross earned premium as the amount of gross premium that was earned during the period. Premiums are earned over the period in which insurance protection is provided, which is typically six months. Gross earned premium includes direct premiums and assumed premiums. We view gross earned premium as an important metric as it allows us to evaluate our growth prior to the impacts of reinsurance. It is the primary driver of our consolidated GAAP revenues. As with gross written premium, we use gross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Profit/(Loss)</w:t>
      </w:r>
    </w:p>
    <w:p>
      <w:pPr>
        <w:spacing w:after="0" w:line="1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define gross profit/(loss) as total revenue minus net loss and LAE and other insurance expense (benefit) inclusive of depreciation and amortization. We view gross profit/(loss) as an important metric because we believe it is informative of the financial performance of our core insurance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expense (benefit).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related sliding scale commission adjustments and amortization of excess ceding commission, and other impacts of reinsurance ceded which are included in other insurance expense (benefit). After these adjustments, the resulting calculation is inclusive of only those gross variable costs of revenue incurred on the successful acquisition of business, but exclusive of net ceding commission, ceded loss and LAE and other impacts of reinsurance ceded. We view direct contribution as an important metric because we believe it measures progress towards the profitability of our total policy portfolio prior to the impact of reinsurance.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define adjusted EBITDA, a non-GAAP financial measure, as net loss excluding interest expense, income tax expense, depreciation and amortization, share-based compensation, warrant compensation expense and restructuring charges.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net loss to adjusted EBITDA.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Adjusted Gross Profit/(Loss) to Gross Earned Premium</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ratio of adjusted gross profit/(loss) to gross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gross earned premium as the denominator in calculating this ratio because it reflects business volume free of elective capital-light choices related to our reinsurance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278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39"/>
        </w:trPr>
        <w:tc>
          <w:tcPr>
            <w:tcW w:w="44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40" w:type="dxa"/>
            <w:vAlign w:val="bottom"/>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39"/>
        </w:trPr>
        <w:tc>
          <w:tcPr>
            <w:tcW w:w="44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gridSpan w:val="3"/>
          </w:tcPr>
          <w:p>
            <w:pPr>
              <w:ind w:left="700"/>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9"/>
        </w:trPr>
        <w:tc>
          <w:tcPr>
            <w:tcW w:w="4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Adjusted gross profit/(loss)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10.5</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Denominator: total gross earned premium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155.3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500.8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530.3</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Ratio of adjusted gross profit/(loss) to gross earned premium</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Direct Contribution to Gross Earned Premium</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ratio of direct contribution to gross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 gross earned premium as the denominator in calculating this ratio because it reflects business volume free of elective capital-light cession or commission structure choices from our reinsurance ceded programs.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6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278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39"/>
        </w:trPr>
        <w:tc>
          <w:tcPr>
            <w:tcW w:w="44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39"/>
        </w:trPr>
        <w:tc>
          <w:tcPr>
            <w:tcW w:w="44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9"/>
        </w:trPr>
        <w:tc>
          <w:tcPr>
            <w:tcW w:w="4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direct contribution</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17.7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12.3</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Denominator: total gross earned premium</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w w:val="93"/>
              </w:rPr>
              <w:t>155.3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500.8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530.3</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9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Loss Ratio</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define gross loss ratio, expressed as a percentage, as the ratio of gross losses to gross earned premium. Gross loss ratio excludes LAE. We view gross loss ratio as an important metric because it allows us to evaluate incurred losses and LAE separately prior to the impact of reinsurance.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LAE Ratio</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define gross LAE ratio, expressed as a percentage, as the ratio of gross LAE to gross earned premium. We view gross LAE ratio as an important metric because it allows us to evaluate incurred losses and LAE separately. Currently, we do not cede any of our LAE to our third-party quota share reinsurance treaties; therefore, we actively monitor the LAE ratio as it has a direct impact on our results regardless of our reinsurance strategy.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Accident Period Loss Ratio</w:t>
      </w:r>
    </w:p>
    <w:p>
      <w:pPr>
        <w:spacing w:after="0" w:line="175"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Gross accident period loss ratio, expressed as a percentage, represents all losses and claims expected to arise from insured events that occurred during the applicable period regardless of when they are reported and finally settled divided by gross earned premiums for the same period. Changes to our ultimate loss estimates from prior periods are the primary driver of the difference between our gross accident period loss ratio and gross loss ratio. We believe that gross accident period loss ratio is useful in evaluating expected losses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40640</wp:posOffset>
            </wp:positionV>
            <wp:extent cx="33261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62"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40640</wp:posOffset>
            </wp:positionV>
            <wp:extent cx="3326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premiums earned</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investment income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Fee and other income</w:t>
      </w:r>
    </w:p>
    <w:p>
      <w:pPr>
        <w:spacing w:after="0" w:line="77" w:lineRule="exact"/>
        <w:rPr>
          <w:sz w:val="20"/>
          <w:szCs w:val="20"/>
          <w:color w:val="auto"/>
        </w:rPr>
      </w:pPr>
    </w:p>
    <w:p>
      <w:pPr>
        <w:jc w:val="center"/>
        <w:ind w:right="3760"/>
        <w:spacing w:after="0"/>
        <w:rPr>
          <w:sz w:val="20"/>
          <w:szCs w:val="20"/>
          <w:color w:val="auto"/>
        </w:rPr>
      </w:pPr>
      <w:r>
        <w:rPr>
          <w:rFonts w:ascii="Arial" w:cs="Arial" w:eastAsia="Arial" w:hAnsi="Arial"/>
          <w:sz w:val="18"/>
          <w:szCs w:val="18"/>
          <w:color w:val="auto"/>
        </w:rPr>
        <w:t>Total revenues</w:t>
      </w:r>
    </w:p>
    <w:p>
      <w:pPr>
        <w:spacing w:after="0" w:line="63" w:lineRule="exact"/>
        <w:rPr>
          <w:sz w:val="20"/>
          <w:szCs w:val="20"/>
          <w:color w:val="auto"/>
        </w:rPr>
      </w:pPr>
    </w:p>
    <w:p>
      <w:pPr>
        <w:jc w:val="center"/>
        <w:ind w:right="376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Loss and loss adjustment expenses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insurance expense (benefit)</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4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37"/>
        </w:trPr>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20"/>
        </w:trPr>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124.4 %</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-1551305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-1208405</wp:posOffset>
            </wp:positionV>
            <wp:extent cx="71323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-856615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-513715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-170815</wp:posOffset>
            </wp:positionV>
            <wp:extent cx="71323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52.5 %</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net unrealized losses on investments</w:t>
            </w: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premiums earned decreased $16.5 million, or 19.4%, to $68.6 million for the three months ended September 30, 2022 compared to the same period in 2021. The decrease was primarily due to lower policies in force as a result of reduced marketing expenditures, partially offset by an increase in premium per policy primarily attributable to rate actions.</w:t>
      </w:r>
    </w:p>
    <w:p>
      <w:pPr>
        <w:spacing w:after="0" w:line="13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three months ended September 30, 2022 and 2021, we ceded approximately 55.8% and 55.1% of our gross earned premiums to third-party reinsurers, respectively. The change in ceding percentage between the periods was primarily driven by a higher proportion of our gross earned premiums being subject to reinsurance treaties.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three months ended September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Three Months Ended September 30,</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(dollars in millions)</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9"/>
              </w:rPr>
              <w:t>(53.9)</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91"/>
              </w:rPr>
              <w:t>26.5</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9"/>
              </w:rPr>
              <w:t>(27.4)</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(34.1)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left="433"/>
              <w:spacing w:after="0"/>
              <w:rPr>
                <w:sz w:val="20"/>
                <w:szCs w:val="20"/>
                <w:color w:val="auto"/>
              </w:rPr>
            </w:pPr>
            <w:r>
              <w:rPr>
                <w:rFonts w:ascii="Arial" w:cs="Arial" w:eastAsia="Arial" w:hAnsi="Arial"/>
                <w:sz w:val="18"/>
                <w:szCs w:val="18"/>
                <w:color w:val="auto"/>
                <w:w w:val="91"/>
              </w:rPr>
              <w:t>17.6</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9"/>
              </w:rPr>
              <w:t>(16.5)</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gross earned premium was primarily due to lower gross written premium as a result of reducing marketing expenditures. This decrease was partially offset by a 16.6% increase in premium per policy for automobile insurance primarily attributable to rate 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Fee income decreased $3.5 million, or 45.5%, to $4.2 million for the three months ended September 30, 2022 compared to the same period ended in 2021. The decrease was primarily due to a reduction in fee revenue from distributing web and app policy inquiry leads to third parties of $1.7 million as a result of reducing marketing expenditures. In addition, there was a decrease of $1.7 million in installments fees due to lower policies in force.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Loss and LAE decreased $33.5 million, or 29.3%, to $80.9 million for the three months ended September 30, 2022 compared to the same period ended in 2021. The decrease was primarily driven by lower policies in force for the three months ended September 30, 2022 compared to the same period in 2021.</w:t>
      </w:r>
    </w:p>
    <w:p>
      <w:pPr>
        <w:spacing w:after="0" w:line="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Gross accident period loss ratios decreased to 79.5% from 92.8% for the three months ended September 30, 2022 and 2021, respectively. The improvement in the ratios was driven by higher average premium per policy and improved tenure mix as our book of business matures. We experienced a 10% decrease in claim frequency partially offset by a 7% increase in severity per claim for the three months ended September 30, 2022 compared to the same period in 2021. The claim severity and frequency estimates are based on bodily injury, collision and property damage coverages.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Sales and marketing expense decreased $59.7 million, or 91.3%, to $5.7 million for the three months ended September 30, 2022 compared to the same period in 2021. The decrease was primarily due to a decline in performance marketing of $43.4 million, branding and advertising of $8.9 million, marketing partnership of $3.0 million and content development of $1.6 million. The reduction in sales and marketing expense is due to a shift in direct marketing strategy in response to changing macroeconomic factors and competitive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 Expense (Benefit)</w:t>
      </w:r>
    </w:p>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Other insurance expense (benefit) increased $5.6 million, or 124.4%, to an expense of $1.1 million for the three months ended September 30, 2022 compared to the same period in 2021. The increase was primarily driven by a $9.7 million decrease in ceding commission contra-expense, partially offset by a $4.9 million decrease in underwriting costs, both of which were results of the decrease in gross written premium.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Technology and development expense decreased $3.7 million, or 20.6%, to $14.3 million for the three months ended September 30, 2022 compared to the same period in 2021. The decrease was primarily driven by a $2.6 million decrease in personnel and overhead related costs as a result of a decrease in headcount. In addition, there was a $1.8 million decrease in share-based compensation expense compared to the same period in 2021 relating to our equity incentive plan. This was partially offset by an increase of $1.2 million in software development expense, as we continue to invest in developing and improving our technology platforms and infrastructure.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 September 30,</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1"/>
              <w:spacing w:after="0"/>
              <w:rPr>
                <w:sz w:val="20"/>
                <w:szCs w:val="20"/>
                <w:color w:val="auto"/>
              </w:rPr>
            </w:pPr>
            <w:r>
              <w:rPr>
                <w:rFonts w:ascii="Arial" w:cs="Arial" w:eastAsia="Arial" w:hAnsi="Arial"/>
                <w:sz w:val="14"/>
                <w:szCs w:val="14"/>
                <w:b w:val="1"/>
                <w:bCs w:val="1"/>
                <w:color w:val="auto"/>
              </w:rPr>
              <w:t>% Change</w:t>
            </w: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(dollars in millions)</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7"/>
        </w:trPr>
        <w:tc>
          <w:tcPr>
            <w:tcW w:w="6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Other insurance benefit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23.6 %</w:t>
            </w:r>
          </w:p>
        </w:tc>
      </w:tr>
      <w:tr>
        <w:trPr>
          <w:trHeight w:val="264"/>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63"/>
        </w:trPr>
        <w:tc>
          <w:tcPr>
            <w:tcW w:w="60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34.1 %</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6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70"/>
        </w:trPr>
        <w:tc>
          <w:tcPr>
            <w:tcW w:w="6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Changes in net unrealized losses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82.5 %</w:t>
            </w: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Net premiums earned decreased $3.8 million, or 1.7%, to $221.6 million, for the nine months ended September 30, 2022, compared to the same period in 2021. The decrease was primarily due to lower policies in force as a result of reduced marketing expenditures, partially offset by an increase in premium per policy resulting from rate actions.</w:t>
      </w:r>
    </w:p>
    <w:p>
      <w:pPr>
        <w:spacing w:after="0" w:line="13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nine months ended September 30, 2022 and 2021, we ceded approximately 55.8% and 57.5% of our gross earned premiums to third-party reinsurers, respectively. The change in ceding percentage between periods was primarily driven by retaining a larger share of our renewal book of business.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nine months ended September 30,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 September 30,</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(dollars in millions)</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478.0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8"/>
              </w:rPr>
              <w:t>584.2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1"/>
              </w:rPr>
              <w:t>(264.5)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94"/>
              </w:rPr>
              <w:t>(306.8)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213.5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8"/>
              </w:rPr>
              <w:t>277.4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376"/>
              <w:spacing w:after="0"/>
              <w:rPr>
                <w:sz w:val="20"/>
                <w:szCs w:val="20"/>
                <w:color w:val="auto"/>
              </w:rPr>
            </w:pPr>
            <w:r>
              <w:rPr>
                <w:rFonts w:ascii="Arial" w:cs="Arial" w:eastAsia="Arial" w:hAnsi="Arial"/>
                <w:sz w:val="18"/>
                <w:szCs w:val="18"/>
                <w:color w:val="auto"/>
                <w:w w:val="88"/>
              </w:rPr>
              <w:t>530.3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center"/>
              <w:ind w:left="273"/>
              <w:spacing w:after="0"/>
              <w:rPr>
                <w:sz w:val="20"/>
                <w:szCs w:val="20"/>
                <w:color w:val="auto"/>
              </w:rPr>
            </w:pPr>
            <w:r>
              <w:rPr>
                <w:rFonts w:ascii="Arial" w:cs="Arial" w:eastAsia="Arial" w:hAnsi="Arial"/>
                <w:sz w:val="18"/>
                <w:szCs w:val="18"/>
                <w:color w:val="auto"/>
                <w:w w:val="91"/>
              </w:rPr>
              <w:t>(279.2)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left="356"/>
              <w:spacing w:after="0"/>
              <w:rPr>
                <w:sz w:val="20"/>
                <w:szCs w:val="20"/>
                <w:color w:val="auto"/>
              </w:rPr>
            </w:pPr>
            <w:r>
              <w:rPr>
                <w:rFonts w:ascii="Arial" w:cs="Arial" w:eastAsia="Arial" w:hAnsi="Arial"/>
                <w:sz w:val="18"/>
                <w:szCs w:val="18"/>
                <w:color w:val="auto"/>
                <w:w w:val="94"/>
              </w:rPr>
              <w:t>(304.9)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221.6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8"/>
              </w:rPr>
              <w:t>225.4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gross earned premium was primarily due to lower gross written premium as a result of reducing marketing expenditures. This decrease was partially offset by 16.6% increase in premium per policy for automobile insurance primarily attributable to rate 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Fee income decreased $7.2 million, or 33.0%, to $14.6 million for the nine months ended September 30, 2022 compared to the same period ended in 2021. The decrease was primarily due to a reduction in fee revenue from distributing web and app policy inquiry leads to third parties of $4.7 million as a result of reducing marketing expenditures. In addition, there was a decrease of $2.5 million in installment fees due to lower policies in force.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Loss and LAE decreased $11.2 million, or 3.9%, to $273.3 million for the nine months ended September 30, 2022 compared to the same period in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was primarily due to lower policies in force for the nine months ended September 30, 2022 compared to the same period in 2021.</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accident period loss ratios decreased to 81.9% from 86.5% for the nine months ended September 30, 2022 and 2021, respectively. The change in the ratios was driven by growth in average premium per policy primarily attributable to rate actions and improved tenure mix as our book of business matures. This was offset by higher loss costs from increased severity per claim due to inflation, as the industry experienced higher replacement parts cost and growth in used car values. We experienced an 11% increase in severity per claim and 4% decrease in claim frequency for the nine months ended September 30, 2022 compared to the same period in 2021. The claim severity and frequency estimates are based on bodily injury, collision, and property damage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and marketing expense decreased $199.7 million, or 81.3%, to $45.8 million for the nine months ended September 30, 2022 compared to the same period in 2021. The decrease was primarily due to a decline in performance marketing of $171.7 million and branding and advertising of $34.9 million. The reduction in sales and marketing expense is due to a shift in direct marketing strategy in response to changing macroeconomic factors and competitive environment. This was partially offset by $8.8 million of warrant compensation expense related to the completion of the Integrated Platform pursuant to the Carvana commercial agreement and by $4.7 million in content development as we focus on diversifying our marketing channels compared to the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and administrative increased $16.5 million, or 23.6%, to $86.3 million for the nine months ended September 30, 2022 compared to the same period in 2021. The increase was driven by $8.4 million of restructuring costs related to an organizational realignment and an increase of $6.6 million in share-based compensation expenses relating to our equity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Interest expense increased $6.1 million, or 34.1%, to $24.0 million for the nine months ended September 30, 2022 compared to the same period ended in 2021. The increase was primarily due to a $9.3 million increase in debt interest expense as a result of higher outstanding debt as of September 30, 2022 compared to the same period in 2021. This was partially offset by a decrease of $3.0 in amortization of discounts on warrants related to Term Loan B, which was early extinguished in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adjusted gross profit/(loss),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total revenue to adjusted gross profit/(loss) and direct contribution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346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7"/>
                <w:szCs w:val="17"/>
                <w:color w:val="auto"/>
              </w:rPr>
            </w:pPr>
          </w:p>
        </w:tc>
        <w:tc>
          <w:tcPr>
            <w:tcW w:w="27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4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26"/>
        </w:trPr>
        <w:tc>
          <w:tcPr>
            <w:tcW w:w="4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9"/>
        </w:trPr>
        <w:tc>
          <w:tcPr>
            <w:tcW w:w="4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239.5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252.2</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980" w:type="dxa"/>
            <w:vAlign w:val="bottom"/>
          </w:tcPr>
          <w:p>
            <w:pPr>
              <w:spacing w:after="0"/>
              <w:rPr>
                <w:sz w:val="23"/>
                <w:szCs w:val="23"/>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(80.9)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(273.3)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(284.5)</w:t>
            </w: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(expense) benefit</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(28.7)</w:t>
            </w: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Less:</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98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(2.4)</w:t>
            </w: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44.2</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98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10.5</w:t>
            </w: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279.2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304.9</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98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(192.4)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(222.0)</w:t>
            </w: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3"/>
                <w:szCs w:val="23"/>
                <w:color w:val="auto"/>
                <w:vertAlign w:val="superscript"/>
              </w:rPr>
              <w:t>(2)</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(19.2)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(81.1)</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98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12.3</w:t>
            </w: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155.3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530.3</w:t>
            </w:r>
          </w:p>
        </w:tc>
      </w:tr>
      <w:tr>
        <w:trPr>
          <w:trHeight w:val="263"/>
        </w:trPr>
        <w:tc>
          <w:tcPr>
            <w:tcW w:w="442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Ratio of adjusted gross profit/(loss) to gross earned premium</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63"/>
        </w:trPr>
        <w:tc>
          <w:tcPr>
            <w:tcW w:w="442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9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50"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78" w:lineRule="exact"/>
        <w:rPr>
          <w:rFonts w:ascii="Arial" w:cs="Arial" w:eastAsia="Arial" w:hAnsi="Arial"/>
          <w:sz w:val="14"/>
          <w:szCs w:val="14"/>
          <w:color w:val="auto"/>
        </w:rPr>
      </w:pPr>
    </w:p>
    <w:p>
      <w:pPr>
        <w:ind w:left="340" w:right="720" w:hanging="332"/>
        <w:spacing w:after="0" w:line="293"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 ceded.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net loss to adjusted EBITDA for the three and nine months ended September 30, 2022 and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6"/>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(133.0)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470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3"/>
                <w:szCs w:val="2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470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compensation expense</w:t>
            </w: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100"/>
              <w:spacing w:after="0"/>
              <w:rPr>
                <w:sz w:val="20"/>
                <w:szCs w:val="20"/>
                <w:color w:val="auto"/>
              </w:rPr>
            </w:pPr>
            <w:r>
              <w:rPr>
                <w:rFonts w:ascii="Arial" w:cs="Arial" w:eastAsia="Arial" w:hAnsi="Arial"/>
                <w:sz w:val="18"/>
                <w:szCs w:val="18"/>
                <w:color w:val="auto"/>
              </w:rPr>
              <w:t>Restructuring costs</w:t>
            </w:r>
            <w:r>
              <w:rPr>
                <w:rFonts w:ascii="Arial" w:cs="Arial" w:eastAsia="Arial" w:hAnsi="Arial"/>
                <w:sz w:val="23"/>
                <w:szCs w:val="23"/>
                <w:color w:val="auto"/>
                <w:vertAlign w:val="superscript"/>
              </w:rPr>
              <w:t>(1)</w:t>
            </w:r>
          </w:p>
        </w:tc>
        <w:tc>
          <w:tcPr>
            <w:tcW w:w="1020" w:type="dxa"/>
            <w:vAlign w:val="bottom"/>
          </w:tcPr>
          <w:p>
            <w:pPr>
              <w:spacing w:after="0"/>
              <w:rPr>
                <w:sz w:val="23"/>
                <w:szCs w:val="2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1"/>
              </w:rPr>
              <w:t>(117.3)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340" w:right="520" w:hanging="332"/>
        <w:spacing w:after="0" w:line="288" w:lineRule="auto"/>
        <w:tabs>
          <w:tab w:leader="none" w:pos="2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Restructuring costs consist of severance, benefits, related costs and real estate exit costs comprising of accelerated amortization of certain right-of-use assets, leasehold improvements, furniture and fixtures. This includes zero and $2.1 million of share-based compensation for the three and nine months ended September 30, 2022, respectively. This also includes</w:t>
      </w:r>
    </w:p>
    <w:p>
      <w:pPr>
        <w:spacing w:after="0" w:line="1" w:lineRule="exact"/>
        <w:rPr>
          <w:rFonts w:ascii="Arial" w:cs="Arial" w:eastAsia="Arial" w:hAnsi="Arial"/>
          <w:sz w:val="12"/>
          <w:szCs w:val="12"/>
          <w:color w:val="auto"/>
        </w:rPr>
      </w:pPr>
    </w:p>
    <w:p>
      <w:pPr>
        <w:ind w:left="340"/>
        <w:spacing w:after="0" w:line="283" w:lineRule="auto"/>
        <w:rPr>
          <w:rFonts w:ascii="Arial" w:cs="Arial" w:eastAsia="Arial" w:hAnsi="Arial"/>
          <w:sz w:val="12"/>
          <w:szCs w:val="12"/>
          <w:color w:val="auto"/>
        </w:rPr>
      </w:pPr>
      <w:r>
        <w:rPr>
          <w:rFonts w:ascii="Arial" w:cs="Arial" w:eastAsia="Arial" w:hAnsi="Arial"/>
          <w:sz w:val="14"/>
          <w:szCs w:val="14"/>
          <w:color w:val="auto"/>
        </w:rPr>
        <w:t>$0.1 million and $1.4 million in depreciation and amortization for the three and nine months ended September 30, 2022, respectively. For further information on restructuring costs, see Note 9, “Restructuring Costs,” in the Notes to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17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We are organized as a holding company, but our primary operations are conducted by two of our wholly-owned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and Delaware. To date, our insurance subsidiaries have not paid any dividends and, as of September 30, 2022, they were not permitted to pay any dividends without approval of the applicable superintendent, commissioner and/or director.</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our insurance subsidiaries’ businesses grow,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September 30, 2022, our insurance subsidiaries maintained a risk-based capital level that is in excess of an amount that would require any corrective actions on our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wholly-owned, Cayman Islands-based reinsurance subsidiary, Root Reinsurance Company, Ltd., or Root Re, maintains a Class B(iii) insurer license under Cayman Islands Monetary Authority, or CIMA. At September 30, 2022, Root Re was subject to compliance with certain capital levels and a net earned premium to capital ratio of 15:1, which we maintained as of September 30, 2022.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August 2022, a subcommittee of our Board of Directors approved a reverse stock split of our Class A and Class B common stock at a ratio of 1-for-18, which became effective on August 12, 2022. Accordingly, all stock, equity award, warrant, and per share amounts have been adjusted to reflect the reverse stock split for all prior periods presented.</w:t>
      </w:r>
    </w:p>
    <w:p>
      <w:pPr>
        <w:spacing w:after="0" w:line="130"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On January 26, 2022, we closed on a $300.0 million five-year term loan, or Term Loan. The maturity of the Term Loan is January 27, 2027. Interest is payable quarterly and is determined on a floating interest rate calculated on the Secured Overnight Financing Rate, with a 1.0% floor, plus 9%, plus</w:t>
      </w:r>
    </w:p>
    <w:p>
      <w:pPr>
        <w:ind w:right="300"/>
        <w:spacing w:after="0" w:line="277" w:lineRule="auto"/>
        <w:rPr>
          <w:sz w:val="20"/>
          <w:szCs w:val="20"/>
          <w:color w:val="auto"/>
        </w:rPr>
      </w:pPr>
      <w:r>
        <w:rPr>
          <w:rFonts w:ascii="Arial" w:cs="Arial" w:eastAsia="Arial" w:hAnsi="Arial"/>
          <w:sz w:val="17"/>
          <w:szCs w:val="17"/>
          <w:color w:val="auto"/>
        </w:rPr>
        <w:t>0.26161% per annum. Concurrently with the Term Loan, we also issued to the lender warrants to purchase 0.3 million shares of Class A common stock. Under certain contingent scenarios, the lender may also receive additional warrants to purchase shares of Class A common stock equal to 1.0% of the aggregate number of issued and outstanding shares of our Class A common stock on a fully-diluted basis as of the triggering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we had $819.7 million in cash and cash equivalents, of which $629.2 million was held outside of regulated insurance entities.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had $120.1 million in marketable securities.</w:t>
      </w:r>
    </w:p>
    <w:p>
      <w:pPr>
        <w:spacing w:after="0" w:line="15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long-term capital requirements depend on many factors, including our insurance premium growth rate, renewal activity, the timing and the amount of cash received from customers, the performance of our embedded product, the timing and extent of spending to support development efforts, the introduction of new and enhanced products, loss cost trends, the continuing market adoption of offerings on our platform, operating costs, and the ongoing uncertainty in the global markets resulting from the global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the first quarter of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 20% of our workforce at the time. On November 9, 2022, we initiated a company-wide involuntary workforce reduction involving approximately 160 employees, which represented approximately 20% of our workforce. The action was taken as part of our efforts to improve efficiency and operating costs, and prioritize resources to further strengthen our pricing and underwriting foundation and the continued development of our embedded products. We believe this action will help extend our capital runway. We expect to record charges of approximately $10.5 million to $11.5 million in general and administrative expenses in the fourth quarter of 2022 for severance, benefits and related costs as a result of these actions. Approximately $7.0 million to $7.5 million of these charges are expected to result in cash expenditures in the same period. We also expect to incur approximately</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$8.0 million to $8.5 million of employee compensation expense, dependent upon continuous employment, recognized ratably through the fourth quarter of 2023, we expect a cash expenditure in the first quarter of 2024. We are continuing to review the potential impact of the reductions, including additional employee-related costs, and are unable to estimate any additional restructuring costs or charges at this time.</w:t>
      </w:r>
    </w:p>
    <w:p>
      <w:pPr>
        <w:spacing w:after="0" w:line="11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Through prudent deployment of capital we believe we have sufficient resources, and access to additional debt and equity capital, to adequately meet our obligations as they come due. For additional information regarding organizational realignments refer to Note 9, “Restructuring Costs,” and Note 15, “Subsequent Events,” in the Notes to Condensed Consolidated Financial Statements.</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Currently, our debt covenants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earned premium of 12%; or ceasing any customer acquisition spend outside of the Carvana commercial agreement and reducing our monthly cash burn to no greater than $12.0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(163.9)</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r>
      <w:tr>
        <w:trPr>
          <w:trHeight w:val="25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6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283.3</w:t>
            </w: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4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2022 was $163.9 million compared to $364.3 million of net cash used in operating activities for the nine months ended September 30, 2021. The decrease in cash used in operating activities was primarily due to a decline in net loss incurred primarily as a result of a reduction in sales and marketing expense due to a shift in direct marketing strategy in response to changing macroeconomic factors and competitive environment. In addition, timing of cash receipts and payments related to reinsurance activity, and timing of premium receipts and claim payments contributed to the decrease in cash used during the nine months ended September 30, 2022 compared to the same period in 2021.</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2022 was $5.7 million, primarily due to purchases of investments and indefinite-lived intangible assets and capitalization of internally developed software, which was partially offset by sales, maturities, calls and pay downs of investments. Net cash provided by investing activities for the nine months ended September 30, 2021 was $83.3 million, primarily due to proceeds from sales, maturities, calls and pay downs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cash provided by financing activities for the nine months ended September 30, 2022 was $283.3 million, primarily due to proceeds from our Term Loan. Net cash provided by financing activities for the nine months ended September 30, 2021 was $2.3 million primarily due to proceeds from employees exercising stock options, net of tax proceeds (withholding), which was offset by a partial repayment of long-term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from Contractual and Other Obligations</w:t>
      </w:r>
    </w:p>
    <w:p>
      <w:pPr>
        <w:spacing w:after="0" w:line="17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There have been no material changes to our contractual and other obligations from those described in our 2021 10-K other than entering into a $300.0 million five-year term loan. The maturity of this Term Loan is January 27, 2027. For additional information regarding the Term Loan refer to Note 7, “Long-Term Debt,” in the Notes to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2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 —Critical Accounting Policies and Estimates,” in our 2021 10-K and the Notes to Condensed Consolidated Financial Statements appearing elsewhere in this Quarterly Report on Form 10-Q. During the nine months ended September 30, 2022, there were no material changes to our critical accounting policies from those discussed in our 2021 10-K, other than the potential accounting effects resulting from net operating loss, or NOL, limitations discussed below.</w:t>
      </w:r>
    </w:p>
    <w:p>
      <w:pPr>
        <w:spacing w:after="0" w:line="10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calculate the tax effects of temporary differences that give rise to deferred tax assets and deferred tax liabilities in accordance with Accounting Standards Codification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or ASC 740. The application of ASC 740 requires a company to evaluate the recoverability of deferred tax assets and to establish a valuation allowance if necessary 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w:t>
      </w:r>
    </w:p>
    <w:p>
      <w:pPr>
        <w:spacing w:after="0" w:line="1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may be unable to fully use our NOLs, if at all. Under Section 382 of the Internal Revenue Code, or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The limitation may be such that it prevents the company from fully utilizing its NOLs existing at the time of the ownership change prior to their expiration, which could also result in a substantial reduction in the deferred tax asset with an offsetting reduction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During 2022, we performed an estimated ownership change analysis and concluded that we have experienced an ownership change. Our estimated ownership percentage by certain shareholders over the most recent rolling three-year period changed significantly and exceeded the 50% threshold. In connection with this ownership change, we do not expect the limitation under Section 382 of the Code will result in any material reduction in our ability to use pre-ownership change NOLs in the future nor require a reduction in the associated deferred tax asset or valuation allowance. We may still experience additional ownership changes in the future as a result of subsequent shifts in ownership, which could result in additional limitations on our NOL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quantitative and qualitative market risk disclosures included in the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6" w:name="page47"/>
    <w:bookmarkEnd w:id="4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September 30,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2022 that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Except as discussed below, there have been no material changes in our risk factors from those disclosed in the 2021 10-K. In addition to the other information set forth in this Quarterly Report on Form 10-Q, you should carefully consider the risk factors discussed in Part I, Item 1A, “Risk Factors” in the 2021 10-K. You should not interpret the disclosure of any risk factor to imply the risk has not already materialized.</w:t>
      </w:r>
    </w:p>
    <w:p>
      <w:pPr>
        <w:spacing w:after="0" w:line="130"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and experienced personnel and, if we are unable to hire and train a sufficient number of qualified employees for any reason, we may not be able to maintain or implement our current initiatives, or our business may contract and we may lose market share. We have implemented involuntary workforce reductions in the past, which may have harmed our reputation and relationship with our employees and may make it more difficult for us to recruit top talent, and we may implement workforce reductions in the future to support other business objectives. We have experienced the effects of the current competitive labor market and our workforce reductions and have responded by increasing wages and/or benefits in certain circumstances and provided cash and equity to retain certain employees in order to attract and retain employees, all of which may continue to negatively impact our results of operations. Moreover, certain of our competitors or other insurance or technology businesses may seek to hire our employees. We cannot assure you that our cash and equity incentives and other compensation and benefits will provide adequate incentives to attract, retain and motivate employees in the future, particularly if the market price of our Class A common stock does not increase or declines further. In addition, our ability to attract, retain and motivate employees may be impacted by our recent workforce reductions. If we do not succeed in attracting, retaining and motivating highly qualified personnel, our business may be seriously harmed.</w:t>
      </w:r>
    </w:p>
    <w:p>
      <w:pPr>
        <w:spacing w:after="0" w:line="1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depend on our senior management, including Alexander Timm, our Chief Executive Officer and co-founder, Daniel Rosenthal, our Chief Revenue and Operating Officer, and Robert Bateman, our Chief Financial Officer, as well as other key personnel. We have experienced turnover among our senior management and employees. We may not be able to retain the services of any of our senior management or other key personnel, as their employment is at-will and they could leave at any time. If we lose the services of one or more of our senior management and other key personnel, including as a result of our workforce reductions or our business results, we may not be able to successfully manage our business, meet competitive challenges or achieve our business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2021, we had federal income tax net operating losses, or NOLs, of approximately $1,042.6 million available to offset our future taxable income, if any, prior to consideration of annual limitations that may be imposed under Section 382 of the Internal Revenue Code, or the Code, or otherwise. Of our federal NOLs, $496.1 million of losses will begin to expire in tax years 2035 through 2041 and $546.5 million of losses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 future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1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NOL carryforwards in taxable years beginning after December 31, 2020, to 80% of taxable income. In addition, federal NOLs arising in tax years beginning after 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when the NOLs are expected to be utilized. The new limitation on use of NOLs may significantly impact our ability to utilize our NOLs to offset taxable income in the future. In addition, for state income tax purposes, there may be periods during which the use of NOLs carryforwards is suspended or otherwise limited, which could accelerate or permanently increase state taxes owed. For example, California imposed limits on the usability of California state NOLs to offset taxable income in tax years beginning after 2019 and before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0" w:name="page51"/>
    <w:bookmarkEnd w:id="5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Total number of 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Total number of shares purchased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 that</w:t>
            </w:r>
          </w:p>
        </w:tc>
        <w:tc>
          <w:tcPr>
            <w:tcW w:w="0" w:type="dxa"/>
            <w:vAlign w:val="bottom"/>
          </w:tcPr>
          <w:p>
            <w:pPr>
              <w:spacing w:after="0"/>
              <w:rPr>
                <w:sz w:val="1"/>
                <w:szCs w:val="1"/>
                <w:color w:val="auto"/>
              </w:rPr>
            </w:pPr>
          </w:p>
        </w:tc>
      </w:tr>
      <w:tr>
        <w:trPr>
          <w:trHeight w:val="144"/>
        </w:trPr>
        <w:tc>
          <w:tcPr>
            <w:tcW w:w="21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8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0"/>
              </w:rPr>
              <w:t>Average price paid per share</w:t>
            </w:r>
            <w:r>
              <w:rPr>
                <w:rFonts w:ascii="Arial" w:cs="Arial" w:eastAsia="Arial" w:hAnsi="Arial"/>
                <w:sz w:val="18"/>
                <w:szCs w:val="18"/>
                <w:b w:val="1"/>
                <w:bCs w:val="1"/>
                <w:color w:val="auto"/>
                <w:w w:val="90"/>
                <w:vertAlign w:val="superscript"/>
              </w:rPr>
              <w:t>(1)</w:t>
            </w:r>
          </w:p>
        </w:tc>
        <w:tc>
          <w:tcPr>
            <w:tcW w:w="100" w:type="dxa"/>
            <w:vAlign w:val="bottom"/>
            <w:vMerge w:val="restart"/>
          </w:tcPr>
          <w:p>
            <w:pPr>
              <w:spacing w:after="0"/>
              <w:rPr>
                <w:sz w:val="12"/>
                <w:szCs w:val="12"/>
                <w:color w:val="auto"/>
              </w:rPr>
            </w:pPr>
          </w:p>
        </w:tc>
        <w:tc>
          <w:tcPr>
            <w:tcW w:w="22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as part of publicly announced</w:t>
            </w: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may yet be purchased under the</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60" w:type="dxa"/>
            <w:vAlign w:val="bottom"/>
            <w:tcBorders>
              <w:bottom w:val="single" w:sz="8" w:color="auto"/>
            </w:tcBorders>
          </w:tcPr>
          <w:p>
            <w:pPr>
              <w:jc w:val="center"/>
              <w:ind w:left="248"/>
              <w:spacing w:after="0" w:line="202" w:lineRule="exact"/>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18"/>
                <w:szCs w:val="18"/>
                <w:b w:val="1"/>
                <w:bCs w:val="1"/>
                <w:color w:val="auto"/>
                <w:w w:val="86"/>
                <w:vertAlign w:val="superscript"/>
              </w:rPr>
              <w:t>(1)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8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7/1/2022 - 7/31/2022</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8"/>
                <w:szCs w:val="18"/>
                <w:color w:val="auto"/>
              </w:rPr>
              <w:t>8/1/2022 - 8/31/2022</w:t>
            </w: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9/1/2022 - 9/30/2022</w:t>
            </w:r>
          </w:p>
        </w:tc>
        <w:tc>
          <w:tcPr>
            <w:tcW w:w="1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______________</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24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of the shares repurchased, as reflected in the table above, were repurchases of unvested shares of our Class A and Class B common stock that had been issued upon early exercise of stock options. Pursuant to the associated option award agreements, upon termination of employment of a person holding unvested shares, we were entitled to repurchase the unvested shares at the original exercise price.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Repurchase and Working Capital Restrictions</w:t>
      </w:r>
    </w:p>
    <w:p>
      <w:pPr>
        <w:spacing w:after="0" w:line="17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9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2021, neither Root Insurance Company nor Root Property &amp; Casualty Insurance Company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 included in the 2021 10-K.</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our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52" w:name="page53"/>
    <w:bookmarkEnd w:id="5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3" w:name="page54"/>
    <w:bookmarkEnd w:id="5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4" w:name="page55"/>
    <w:bookmarkEnd w:id="5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November 9, 2022, we initiated a company-wide involuntary work force reduction involving approximately 160 employees, which represented approximately 20% of our workforce. The action was taken as part of our efforts to improve efficiency and operating costs, and prioritize resources to further strengthen our pricing and underwriting foundation and the continued development of our embedded products. We believe this action will help extend our capital runway. A majority of the affected employees were notified on November 9, 2022, with most job eliminations effective in November 2022.</w:t>
      </w:r>
    </w:p>
    <w:p>
      <w:pPr>
        <w:spacing w:after="0" w:line="13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the fourth quarter of 2022, we expect to record charges of approximately $10.5 million to $11.5 million in general and administrative expenses for severance, benefits and related costs as a result of these actions. Approximately $7.0 million to $7.5 million of these charges are expected to result in cash expenditures in the same period. We also expect to incur approximately $8.0 million to $8.5 million of employee compensation expense, recognized ratably through the fourth quarter of 2023, for which we expect a cash expenditure in the first quarter of 2024. We are continuing to review the potential impact of the reduction, including additional employee-related costs, and are unable to estimate any additional restructuring costs or charges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340"/>
              <w:spacing w:after="0"/>
              <w:rPr>
                <w:sz w:val="20"/>
                <w:szCs w:val="20"/>
                <w:color w:val="auto"/>
              </w:rPr>
            </w:pPr>
            <w:r>
              <w:rPr>
                <w:rFonts w:ascii="Arial" w:cs="Arial" w:eastAsia="Arial" w:hAnsi="Arial"/>
                <w:sz w:val="18"/>
                <w:szCs w:val="18"/>
                <w:color w:val="auto"/>
              </w:rPr>
              <w:t>(a)</w:t>
            </w:r>
          </w:p>
        </w:tc>
        <w:tc>
          <w:tcPr>
            <w:tcW w:w="1260" w:type="dxa"/>
            <w:vAlign w:val="bottom"/>
          </w:tcPr>
          <w:p>
            <w:pPr>
              <w:ind w:left="60"/>
              <w:spacing w:after="0"/>
              <w:rPr>
                <w:sz w:val="20"/>
                <w:szCs w:val="20"/>
                <w:color w:val="auto"/>
              </w:rPr>
            </w:pPr>
            <w:r>
              <w:rPr>
                <w:rFonts w:ascii="Arial" w:cs="Arial" w:eastAsia="Arial" w:hAnsi="Arial"/>
                <w:sz w:val="18"/>
                <w:szCs w:val="18"/>
                <w:color w:val="auto"/>
              </w:rPr>
              <w:t>Exhibits.</w:t>
            </w: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gridSpan w:val="2"/>
          </w:tcPr>
          <w:p>
            <w:pPr>
              <w:ind w:left="840"/>
              <w:spacing w:after="0"/>
              <w:rPr>
                <w:sz w:val="20"/>
                <w:szCs w:val="20"/>
                <w:color w:val="auto"/>
              </w:rPr>
            </w:pPr>
            <w:r>
              <w:rPr>
                <w:rFonts w:ascii="Arial" w:cs="Arial" w:eastAsia="Arial" w:hAnsi="Arial"/>
                <w:sz w:val="14"/>
                <w:szCs w:val="14"/>
                <w:b w:val="1"/>
                <w:bCs w:val="1"/>
                <w:color w:val="auto"/>
              </w:rPr>
              <w:t>Incorporation by Reference</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860" w:type="dxa"/>
            <w:vAlign w:val="bottom"/>
            <w:gridSpan w:val="2"/>
            <w:vMerge w:val="restart"/>
          </w:tcPr>
          <w:p>
            <w:pPr>
              <w:jc w:val="center"/>
              <w:ind w:right="75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860" w:type="dxa"/>
            <w:vAlign w:val="bottom"/>
            <w:gridSpan w:val="2"/>
            <w:vMerge w:val="continue"/>
          </w:tcPr>
          <w:p>
            <w:pPr>
              <w:spacing w:after="0"/>
              <w:rPr>
                <w:sz w:val="13"/>
                <w:szCs w:val="13"/>
                <w:color w:val="auto"/>
              </w:rPr>
            </w:pPr>
          </w:p>
        </w:tc>
        <w:tc>
          <w:tcPr>
            <w:tcW w:w="3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60" w:type="dxa"/>
            <w:vAlign w:val="bottom"/>
            <w:gridSpan w:val="2"/>
          </w:tcPr>
          <w:p>
            <w:pPr>
              <w:jc w:val="center"/>
              <w:ind w:right="730"/>
              <w:spacing w:after="0"/>
              <w:rPr>
                <w:sz w:val="20"/>
                <w:szCs w:val="20"/>
                <w:color w:val="auto"/>
              </w:rPr>
            </w:pPr>
            <w:r>
              <w:rPr>
                <w:rFonts w:ascii="Arial" w:cs="Arial" w:eastAsia="Arial" w:hAnsi="Arial"/>
                <w:sz w:val="14"/>
                <w:szCs w:val="14"/>
                <w:b w:val="1"/>
                <w:bCs w:val="1"/>
                <w:color w:val="auto"/>
                <w:w w:val="98"/>
              </w:rPr>
              <w:t>Number</w:t>
            </w:r>
          </w:p>
        </w:tc>
        <w:tc>
          <w:tcPr>
            <w:tcW w:w="3140" w:type="dxa"/>
            <w:vAlign w:val="bottom"/>
          </w:tcPr>
          <w:p>
            <w:pPr>
              <w:ind w:left="520"/>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3.1</w:t>
            </w:r>
          </w:p>
        </w:tc>
        <w:tc>
          <w:tcPr>
            <w:tcW w:w="3860" w:type="dxa"/>
            <w:vAlign w:val="bottom"/>
            <w:gridSpan w:val="27"/>
          </w:tcPr>
          <w:p>
            <w:pPr>
              <w:spacing w:after="0"/>
              <w:rPr>
                <w:rFonts w:ascii="Arial" w:cs="Arial" w:eastAsia="Arial" w:hAnsi="Arial"/>
                <w:sz w:val="16"/>
                <w:szCs w:val="16"/>
                <w:color w:val="0000FF"/>
              </w:rPr>
            </w:pPr>
            <w:hyperlink r:id="rId95">
              <w:r>
                <w:rPr>
                  <w:rFonts w:ascii="Arial" w:cs="Arial" w:eastAsia="Arial" w:hAnsi="Arial"/>
                  <w:sz w:val="16"/>
                  <w:szCs w:val="16"/>
                  <w:color w:val="0000FF"/>
                </w:rPr>
                <w:t>Amended and Restated Certificate of Incorporation of</w:t>
              </w:r>
            </w:hyperlink>
          </w:p>
        </w:tc>
      </w:tr>
      <w:tr>
        <w:trPr>
          <w:trHeight w:val="142"/>
        </w:trPr>
        <w:tc>
          <w:tcPr>
            <w:tcW w:w="1120" w:type="dxa"/>
            <w:vAlign w:val="bottom"/>
          </w:tcPr>
          <w:p>
            <w:pPr>
              <w:spacing w:after="0"/>
              <w:rPr>
                <w:sz w:val="12"/>
                <w:szCs w:val="12"/>
                <w:color w:val="auto"/>
              </w:rPr>
            </w:pPr>
          </w:p>
        </w:tc>
        <w:tc>
          <w:tcPr>
            <w:tcW w:w="6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0"/>
              </w:rPr>
            </w:pPr>
            <w:hyperlink r:id="rId95">
              <w:r>
                <w:rPr>
                  <w:rFonts w:ascii="Arial" w:cs="Arial" w:eastAsia="Arial" w:hAnsi="Arial"/>
                  <w:sz w:val="16"/>
                  <w:szCs w:val="16"/>
                  <w:color w:val="0000FF"/>
                  <w:w w:val="90"/>
                </w:rPr>
                <w:t>Root, Inc.</w:t>
              </w:r>
            </w:hyperlink>
          </w:p>
        </w:tc>
        <w:tc>
          <w:tcPr>
            <w:tcW w:w="286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6"/>
                <w:szCs w:val="16"/>
                <w:color w:val="auto"/>
              </w:rPr>
              <w:t>3.2</w:t>
            </w:r>
          </w:p>
        </w:tc>
        <w:tc>
          <w:tcPr>
            <w:tcW w:w="3860" w:type="dxa"/>
            <w:vAlign w:val="bottom"/>
            <w:gridSpan w:val="27"/>
          </w:tcPr>
          <w:p>
            <w:pPr>
              <w:spacing w:after="0"/>
              <w:rPr>
                <w:rFonts w:ascii="Arial" w:cs="Arial" w:eastAsia="Arial" w:hAnsi="Arial"/>
                <w:sz w:val="16"/>
                <w:szCs w:val="16"/>
                <w:color w:val="0000FF"/>
              </w:rPr>
            </w:pPr>
            <w:hyperlink r:id="rId96">
              <w:r>
                <w:rPr>
                  <w:rFonts w:ascii="Arial" w:cs="Arial" w:eastAsia="Arial" w:hAnsi="Arial"/>
                  <w:sz w:val="16"/>
                  <w:szCs w:val="16"/>
                  <w:color w:val="0000FF"/>
                </w:rPr>
                <w:t>Certificate of Amendment to Amended and Restated</w:t>
              </w:r>
            </w:hyperlink>
          </w:p>
        </w:tc>
      </w:tr>
      <w:tr>
        <w:trPr>
          <w:trHeight w:val="142"/>
        </w:trPr>
        <w:tc>
          <w:tcPr>
            <w:tcW w:w="11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4"/>
              </w:rPr>
            </w:pPr>
            <w:hyperlink r:id="rId96">
              <w:r>
                <w:rPr>
                  <w:rFonts w:ascii="Arial" w:cs="Arial" w:eastAsia="Arial" w:hAnsi="Arial"/>
                  <w:sz w:val="16"/>
                  <w:szCs w:val="16"/>
                  <w:color w:val="0000FF"/>
                  <w:w w:val="94"/>
                </w:rPr>
                <w:t>Certificate of Incorporation of Root, Inc.</w:t>
              </w:r>
            </w:hyperlink>
          </w:p>
        </w:tc>
        <w:tc>
          <w:tcPr>
            <w:tcW w:w="760" w:type="dxa"/>
            <w:vAlign w:val="bottom"/>
            <w:tcBorders>
              <w:top w:val="single" w:sz="8" w:color="0000FF"/>
            </w:tcBorders>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6"/>
                <w:szCs w:val="16"/>
                <w:color w:val="auto"/>
              </w:rPr>
              <w:t>3.3</w:t>
            </w:r>
          </w:p>
        </w:tc>
        <w:tc>
          <w:tcPr>
            <w:tcW w:w="2880" w:type="dxa"/>
            <w:vAlign w:val="bottom"/>
            <w:tcBorders>
              <w:bottom w:val="single" w:sz="8" w:color="0000FF"/>
            </w:tcBorders>
            <w:gridSpan w:val="9"/>
          </w:tcPr>
          <w:p>
            <w:pPr>
              <w:spacing w:after="0"/>
              <w:rPr>
                <w:rFonts w:ascii="Arial" w:cs="Arial" w:eastAsia="Arial" w:hAnsi="Arial"/>
                <w:sz w:val="16"/>
                <w:szCs w:val="16"/>
                <w:color w:val="0000FF"/>
                <w:w w:val="91"/>
              </w:rPr>
            </w:pPr>
            <w:hyperlink r:id="rId97">
              <w:r>
                <w:rPr>
                  <w:rFonts w:ascii="Arial" w:cs="Arial" w:eastAsia="Arial" w:hAnsi="Arial"/>
                  <w:sz w:val="16"/>
                  <w:szCs w:val="16"/>
                  <w:color w:val="0000FF"/>
                  <w:w w:val="91"/>
                </w:rPr>
                <w:t>Amended and Restated Bylaws of Root, Inc.</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3.4</w:t>
            </w:r>
          </w:p>
        </w:tc>
        <w:tc>
          <w:tcPr>
            <w:tcW w:w="3600" w:type="dxa"/>
            <w:vAlign w:val="bottom"/>
            <w:tcBorders>
              <w:bottom w:val="single" w:sz="8" w:color="0000FF"/>
            </w:tcBorders>
            <w:gridSpan w:val="17"/>
          </w:tcPr>
          <w:p>
            <w:pPr>
              <w:spacing w:after="0"/>
              <w:rPr>
                <w:rFonts w:ascii="Arial" w:cs="Arial" w:eastAsia="Arial" w:hAnsi="Arial"/>
                <w:sz w:val="16"/>
                <w:szCs w:val="16"/>
                <w:color w:val="0000FF"/>
                <w:w w:val="91"/>
              </w:rPr>
            </w:pPr>
            <w:hyperlink r:id="rId98">
              <w:r>
                <w:rPr>
                  <w:rFonts w:ascii="Arial" w:cs="Arial" w:eastAsia="Arial" w:hAnsi="Arial"/>
                  <w:sz w:val="16"/>
                  <w:szCs w:val="16"/>
                  <w:color w:val="0000FF"/>
                  <w:w w:val="91"/>
                </w:rPr>
                <w:t>Certificate of Designations of Series A Preferred Stock,</w:t>
              </w:r>
            </w:hyperlink>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860" w:type="dxa"/>
            <w:vAlign w:val="bottom"/>
            <w:gridSpan w:val="27"/>
          </w:tcPr>
          <w:p>
            <w:pPr>
              <w:spacing w:after="0" w:line="142" w:lineRule="exact"/>
              <w:rPr>
                <w:rFonts w:ascii="Arial" w:cs="Arial" w:eastAsia="Arial" w:hAnsi="Arial"/>
                <w:sz w:val="16"/>
                <w:szCs w:val="16"/>
                <w:color w:val="0000FF"/>
                <w:w w:val="97"/>
              </w:rPr>
            </w:pPr>
            <w:hyperlink r:id="rId98">
              <w:r>
                <w:rPr>
                  <w:rFonts w:ascii="Arial" w:cs="Arial" w:eastAsia="Arial" w:hAnsi="Arial"/>
                  <w:sz w:val="16"/>
                  <w:szCs w:val="16"/>
                  <w:color w:val="0000FF"/>
                  <w:w w:val="97"/>
                </w:rPr>
                <w:t>filed with the Delaware Secretary of State on October 1,</w:t>
              </w:r>
            </w:hyperlink>
          </w:p>
        </w:tc>
      </w:tr>
      <w:tr>
        <w:trPr>
          <w:trHeight w:val="142"/>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r:id="rId98">
              <w:r>
                <w:rPr>
                  <w:rFonts w:ascii="Arial" w:cs="Arial" w:eastAsia="Arial" w:hAnsi="Arial"/>
                  <w:sz w:val="16"/>
                  <w:szCs w:val="16"/>
                  <w:color w:val="0000FF"/>
                  <w:w w:val="84"/>
                </w:rPr>
                <w:t>2021</w:t>
              </w:r>
            </w:hyperlink>
          </w:p>
        </w:tc>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6"/>
                <w:szCs w:val="16"/>
                <w:color w:val="auto"/>
              </w:rPr>
              <w:t>4.1</w:t>
            </w:r>
          </w:p>
        </w:tc>
        <w:tc>
          <w:tcPr>
            <w:tcW w:w="3860" w:type="dxa"/>
            <w:vAlign w:val="bottom"/>
            <w:gridSpan w:val="27"/>
          </w:tcPr>
          <w:p>
            <w:pPr>
              <w:spacing w:after="0"/>
              <w:rPr>
                <w:rFonts w:ascii="Arial" w:cs="Arial" w:eastAsia="Arial" w:hAnsi="Arial"/>
                <w:sz w:val="16"/>
                <w:szCs w:val="16"/>
                <w:color w:val="0000FF"/>
              </w:rPr>
            </w:pPr>
            <w:hyperlink r:id="rId99">
              <w:r>
                <w:rPr>
                  <w:rFonts w:ascii="Arial" w:cs="Arial" w:eastAsia="Arial" w:hAnsi="Arial"/>
                  <w:sz w:val="16"/>
                  <w:szCs w:val="16"/>
                  <w:color w:val="0000FF"/>
                </w:rPr>
                <w:t>Form of Class A common stock certificate.</w:t>
              </w:r>
            </w:hyperlink>
          </w:p>
        </w:tc>
      </w:tr>
      <w:tr>
        <w:trPr>
          <w:trHeight w:val="20"/>
        </w:trPr>
        <w:tc>
          <w:tcPr>
            <w:tcW w:w="11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4.2</w:t>
            </w:r>
          </w:p>
        </w:tc>
        <w:tc>
          <w:tcPr>
            <w:tcW w:w="3860" w:type="dxa"/>
            <w:vAlign w:val="bottom"/>
            <w:gridSpan w:val="27"/>
          </w:tcPr>
          <w:p>
            <w:pPr>
              <w:spacing w:after="0"/>
              <w:rPr>
                <w:rFonts w:ascii="Arial" w:cs="Arial" w:eastAsia="Arial" w:hAnsi="Arial"/>
                <w:sz w:val="16"/>
                <w:szCs w:val="16"/>
                <w:color w:val="0000FF"/>
                <w:w w:val="91"/>
              </w:rPr>
            </w:pPr>
            <w:hyperlink r:id="rId100">
              <w:r>
                <w:rPr>
                  <w:rFonts w:ascii="Arial" w:cs="Arial" w:eastAsia="Arial" w:hAnsi="Arial"/>
                  <w:sz w:val="16"/>
                  <w:szCs w:val="16"/>
                  <w:color w:val="0000FF"/>
                  <w:w w:val="91"/>
                </w:rPr>
                <w:t>Common Stock Purchase Warrants, dated as of October 1,</w:t>
              </w:r>
            </w:hyperlink>
          </w:p>
        </w:tc>
      </w:tr>
      <w:tr>
        <w:trPr>
          <w:trHeight w:val="142"/>
        </w:trPr>
        <w:tc>
          <w:tcPr>
            <w:tcW w:w="112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w w:val="90"/>
              </w:rPr>
            </w:pPr>
            <w:hyperlink r:id="rId100">
              <w:r>
                <w:rPr>
                  <w:rFonts w:ascii="Arial" w:cs="Arial" w:eastAsia="Arial" w:hAnsi="Arial"/>
                  <w:sz w:val="16"/>
                  <w:szCs w:val="16"/>
                  <w:color w:val="0000FF"/>
                  <w:w w:val="90"/>
                </w:rPr>
                <w:t>2021, by and between Root, Inc. and Carvana Group, LLC</w:t>
              </w:r>
            </w:hyperlink>
          </w:p>
        </w:tc>
        <w:tc>
          <w:tcPr>
            <w:tcW w:w="4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6"/>
                <w:szCs w:val="16"/>
                <w:color w:val="auto"/>
              </w:rPr>
              <w:t>4.3</w:t>
            </w:r>
          </w:p>
        </w:tc>
        <w:tc>
          <w:tcPr>
            <w:tcW w:w="3860" w:type="dxa"/>
            <w:vAlign w:val="bottom"/>
            <w:gridSpan w:val="27"/>
          </w:tcPr>
          <w:p>
            <w:pPr>
              <w:spacing w:after="0"/>
              <w:rPr>
                <w:rFonts w:ascii="Arial" w:cs="Arial" w:eastAsia="Arial" w:hAnsi="Arial"/>
                <w:sz w:val="16"/>
                <w:szCs w:val="16"/>
                <w:color w:val="0000FF"/>
                <w:w w:val="97"/>
              </w:rPr>
            </w:pPr>
            <w:hyperlink r:id="rId101">
              <w:r>
                <w:rPr>
                  <w:rFonts w:ascii="Arial" w:cs="Arial" w:eastAsia="Arial" w:hAnsi="Arial"/>
                  <w:sz w:val="16"/>
                  <w:szCs w:val="16"/>
                  <w:color w:val="0000FF"/>
                  <w:w w:val="97"/>
                </w:rPr>
                <w:t>Form of Common Stock Purchase Warrant (Tranche 1),</w:t>
              </w:r>
            </w:hyperlink>
          </w:p>
        </w:tc>
      </w:tr>
      <w:tr>
        <w:trPr>
          <w:trHeight w:val="142"/>
        </w:trPr>
        <w:tc>
          <w:tcPr>
            <w:tcW w:w="11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8"/>
              </w:rPr>
            </w:pPr>
            <w:hyperlink r:id="rId101">
              <w:r>
                <w:rPr>
                  <w:rFonts w:ascii="Arial" w:cs="Arial" w:eastAsia="Arial" w:hAnsi="Arial"/>
                  <w:sz w:val="16"/>
                  <w:szCs w:val="16"/>
                  <w:color w:val="0000FF"/>
                  <w:w w:val="88"/>
                </w:rPr>
                <w:t>dated January 26, 2022</w:t>
              </w:r>
            </w:hyperlink>
          </w:p>
        </w:tc>
        <w:tc>
          <w:tcPr>
            <w:tcW w:w="21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6"/>
                <w:szCs w:val="16"/>
                <w:color w:val="auto"/>
              </w:rPr>
              <w:t>4.4</w:t>
            </w:r>
          </w:p>
        </w:tc>
        <w:tc>
          <w:tcPr>
            <w:tcW w:w="3560" w:type="dxa"/>
            <w:vAlign w:val="bottom"/>
            <w:tcBorders>
              <w:bottom w:val="single" w:sz="8" w:color="0000FF"/>
            </w:tcBorders>
            <w:gridSpan w:val="15"/>
          </w:tcPr>
          <w:p>
            <w:pPr>
              <w:spacing w:after="0"/>
              <w:rPr>
                <w:rFonts w:ascii="Arial" w:cs="Arial" w:eastAsia="Arial" w:hAnsi="Arial"/>
                <w:sz w:val="16"/>
                <w:szCs w:val="16"/>
                <w:color w:val="0000FF"/>
                <w:w w:val="90"/>
              </w:rPr>
            </w:pPr>
            <w:hyperlink r:id="rId102">
              <w:r>
                <w:rPr>
                  <w:rFonts w:ascii="Arial" w:cs="Arial" w:eastAsia="Arial" w:hAnsi="Arial"/>
                  <w:sz w:val="16"/>
                  <w:szCs w:val="16"/>
                  <w:color w:val="0000FF"/>
                  <w:w w:val="90"/>
                </w:rPr>
                <w:t>Form of Common Stock Purchase Warrant (Tranche 2)</w:t>
              </w:r>
            </w:hyperlink>
          </w:p>
        </w:tc>
        <w:tc>
          <w:tcPr>
            <w:tcW w:w="300" w:type="dxa"/>
            <w:vAlign w:val="bottom"/>
            <w:gridSpan w:val="12"/>
          </w:tcPr>
          <w:p>
            <w:pPr>
              <w:spacing w:after="0"/>
              <w:rPr>
                <w:sz w:val="21"/>
                <w:szCs w:val="2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10.1#</w:t>
            </w:r>
          </w:p>
        </w:tc>
        <w:tc>
          <w:tcPr>
            <w:tcW w:w="372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w w:val="90"/>
              </w:rPr>
              <w:t>First Amendment to 2020 Employee Stock Purchase Plan</w:t>
            </w:r>
          </w:p>
        </w:tc>
        <w:tc>
          <w:tcPr>
            <w:tcW w:w="1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10.2#</w:t>
            </w:r>
          </w:p>
        </w:tc>
        <w:tc>
          <w:tcPr>
            <w:tcW w:w="31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2"/>
              </w:rPr>
              <w:t>First Amendment to 2020 Equity Incentive Plan</w:t>
            </w:r>
          </w:p>
        </w:tc>
        <w:tc>
          <w:tcPr>
            <w:tcW w:w="22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10.3#</w:t>
            </w:r>
          </w:p>
        </w:tc>
        <w:tc>
          <w:tcPr>
            <w:tcW w:w="368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w w:val="91"/>
              </w:rPr>
              <w:t>First Amendment to 2015 Amended and Restated Equity</w:t>
            </w:r>
          </w:p>
        </w:tc>
        <w:tc>
          <w:tcPr>
            <w:tcW w:w="180" w:type="dxa"/>
            <w:vAlign w:val="bottom"/>
            <w:gridSpan w:val="6"/>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7"/>
          </w:tcPr>
          <w:p>
            <w:pPr>
              <w:spacing w:after="0" w:line="169" w:lineRule="exact"/>
              <w:rPr>
                <w:sz w:val="20"/>
                <w:szCs w:val="20"/>
                <w:color w:val="auto"/>
              </w:rPr>
            </w:pPr>
            <w:r>
              <w:rPr>
                <w:rFonts w:ascii="Arial" w:cs="Arial" w:eastAsia="Arial" w:hAnsi="Arial"/>
                <w:sz w:val="16"/>
                <w:szCs w:val="16"/>
                <w:color w:val="0000FF"/>
              </w:rPr>
              <w:t>Incentive Plan</w:t>
            </w:r>
          </w:p>
        </w:tc>
      </w:tr>
      <w:tr>
        <w:trPr>
          <w:trHeight w:val="20"/>
        </w:trPr>
        <w:tc>
          <w:tcPr>
            <w:tcW w:w="11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31.1</w:t>
            </w:r>
          </w:p>
        </w:tc>
        <w:tc>
          <w:tcPr>
            <w:tcW w:w="358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3"/>
              </w:rPr>
              <w:t>Certification of Principal Executive Officer Pursuant to</w:t>
            </w: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332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90"/>
              </w:rPr>
              <w:t>Rules 13a-14(a) and 15d-14(a) under the Securities</w:t>
            </w:r>
          </w:p>
        </w:tc>
        <w:tc>
          <w:tcPr>
            <w:tcW w:w="540" w:type="dxa"/>
            <w:vAlign w:val="bottom"/>
            <w:gridSpan w:val="16"/>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7"/>
          </w:tcPr>
          <w:p>
            <w:pPr>
              <w:spacing w:after="0" w:line="169" w:lineRule="exact"/>
              <w:rPr>
                <w:sz w:val="20"/>
                <w:szCs w:val="20"/>
                <w:color w:val="auto"/>
              </w:rPr>
            </w:pPr>
            <w:r>
              <w:rPr>
                <w:rFonts w:ascii="Arial" w:cs="Arial" w:eastAsia="Arial" w:hAnsi="Arial"/>
                <w:sz w:val="16"/>
                <w:szCs w:val="16"/>
                <w:color w:val="0000FF"/>
                <w:w w:val="91"/>
              </w:rPr>
              <w:t>Exchange Act of 1934, as Adopted Pursuant to Section 302</w:t>
            </w:r>
          </w:p>
        </w:tc>
      </w:tr>
      <w:tr>
        <w:trPr>
          <w:trHeight w:val="156"/>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6"/>
          </w:tcPr>
          <w:p>
            <w:pPr>
              <w:spacing w:after="0" w:line="155" w:lineRule="exact"/>
              <w:rPr>
                <w:sz w:val="20"/>
                <w:szCs w:val="20"/>
                <w:color w:val="auto"/>
              </w:rPr>
            </w:pPr>
            <w:r>
              <w:rPr>
                <w:rFonts w:ascii="Arial" w:cs="Arial" w:eastAsia="Arial" w:hAnsi="Arial"/>
                <w:sz w:val="16"/>
                <w:szCs w:val="16"/>
                <w:color w:val="0000FF"/>
                <w:w w:val="91"/>
              </w:rPr>
              <w:t>of the Sarbanes-Oxley Act of 2002.</w:t>
            </w:r>
          </w:p>
        </w:tc>
        <w:tc>
          <w:tcPr>
            <w:tcW w:w="15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31.2</w:t>
            </w:r>
          </w:p>
        </w:tc>
        <w:tc>
          <w:tcPr>
            <w:tcW w:w="35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4"/>
              </w:rPr>
              <w:t>Certification of Principal Financial Officer Pursuant to</w:t>
            </w:r>
          </w:p>
        </w:tc>
        <w:tc>
          <w:tcPr>
            <w:tcW w:w="320" w:type="dxa"/>
            <w:vAlign w:val="bottom"/>
            <w:gridSpan w:val="13"/>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332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90"/>
              </w:rPr>
              <w:t>Rules 13a-14(a) and 15d-14(a) under the Securities</w:t>
            </w:r>
          </w:p>
        </w:tc>
        <w:tc>
          <w:tcPr>
            <w:tcW w:w="540" w:type="dxa"/>
            <w:vAlign w:val="bottom"/>
            <w:gridSpan w:val="16"/>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7"/>
          </w:tcPr>
          <w:p>
            <w:pPr>
              <w:spacing w:after="0" w:line="169" w:lineRule="exact"/>
              <w:rPr>
                <w:sz w:val="20"/>
                <w:szCs w:val="20"/>
                <w:color w:val="auto"/>
              </w:rPr>
            </w:pPr>
            <w:r>
              <w:rPr>
                <w:rFonts w:ascii="Arial" w:cs="Arial" w:eastAsia="Arial" w:hAnsi="Arial"/>
                <w:sz w:val="16"/>
                <w:szCs w:val="16"/>
                <w:color w:val="0000FF"/>
                <w:w w:val="91"/>
              </w:rPr>
              <w:t>Exchange Act of 1934, as Adopted Pursuant to Section 302</w:t>
            </w:r>
          </w:p>
        </w:tc>
      </w:tr>
      <w:tr>
        <w:trPr>
          <w:trHeight w:val="156"/>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6"/>
          </w:tcPr>
          <w:p>
            <w:pPr>
              <w:spacing w:after="0" w:line="155" w:lineRule="exact"/>
              <w:rPr>
                <w:sz w:val="20"/>
                <w:szCs w:val="20"/>
                <w:color w:val="auto"/>
              </w:rPr>
            </w:pPr>
            <w:r>
              <w:rPr>
                <w:rFonts w:ascii="Arial" w:cs="Arial" w:eastAsia="Arial" w:hAnsi="Arial"/>
                <w:sz w:val="16"/>
                <w:szCs w:val="16"/>
                <w:color w:val="0000FF"/>
                <w:w w:val="91"/>
              </w:rPr>
              <w:t>of the Sarbanes-Oxley Act of 2002.</w:t>
            </w:r>
          </w:p>
        </w:tc>
        <w:tc>
          <w:tcPr>
            <w:tcW w:w="15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6"/>
                <w:szCs w:val="16"/>
                <w:color w:val="auto"/>
              </w:rPr>
              <w:t>32.1*</w:t>
            </w:r>
          </w:p>
        </w:tc>
        <w:tc>
          <w:tcPr>
            <w:tcW w:w="370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w w:val="94"/>
              </w:rPr>
              <w:t>Certification of Principal Executive Officer and Principal</w:t>
            </w:r>
          </w:p>
        </w:tc>
        <w:tc>
          <w:tcPr>
            <w:tcW w:w="160" w:type="dxa"/>
            <w:vAlign w:val="bottom"/>
            <w:gridSpan w:val="5"/>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7"/>
          </w:tcPr>
          <w:p>
            <w:pPr>
              <w:spacing w:after="0" w:line="169" w:lineRule="exact"/>
              <w:rPr>
                <w:sz w:val="20"/>
                <w:szCs w:val="20"/>
                <w:color w:val="auto"/>
              </w:rPr>
            </w:pPr>
            <w:r>
              <w:rPr>
                <w:rFonts w:ascii="Arial" w:cs="Arial" w:eastAsia="Arial" w:hAnsi="Arial"/>
                <w:sz w:val="16"/>
                <w:szCs w:val="16"/>
                <w:color w:val="0000FF"/>
                <w:w w:val="96"/>
              </w:rPr>
              <w:t>Financial Officer Pursuant to 18 U.S.C. Section 1350, as</w:t>
            </w:r>
          </w:p>
        </w:tc>
      </w:tr>
      <w:tr>
        <w:trPr>
          <w:trHeight w:val="169"/>
        </w:trPr>
        <w:tc>
          <w:tcPr>
            <w:tcW w:w="1120" w:type="dxa"/>
            <w:vAlign w:val="bottom"/>
          </w:tcPr>
          <w:p>
            <w:pPr>
              <w:spacing w:after="0"/>
              <w:rPr>
                <w:sz w:val="14"/>
                <w:szCs w:val="14"/>
                <w:color w:val="auto"/>
              </w:rPr>
            </w:pPr>
          </w:p>
        </w:tc>
        <w:tc>
          <w:tcPr>
            <w:tcW w:w="366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6"/>
                <w:szCs w:val="16"/>
                <w:color w:val="0000FF"/>
                <w:w w:val="91"/>
              </w:rPr>
              <w:t>Adopted Pursuant to Section 906 of the Sarbanes-Oxley</w:t>
            </w:r>
          </w:p>
        </w:tc>
        <w:tc>
          <w:tcPr>
            <w:tcW w:w="200" w:type="dxa"/>
            <w:vAlign w:val="bottom"/>
            <w:gridSpan w:val="7"/>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20" w:type="dxa"/>
            <w:vAlign w:val="bottom"/>
            <w:tcBorders>
              <w:top w:val="single" w:sz="8" w:color="0000FF"/>
            </w:tcBorders>
            <w:gridSpan w:val="18"/>
          </w:tcPr>
          <w:p>
            <w:pPr>
              <w:spacing w:after="0" w:line="155" w:lineRule="exact"/>
              <w:rPr>
                <w:sz w:val="20"/>
                <w:szCs w:val="20"/>
                <w:color w:val="auto"/>
              </w:rPr>
            </w:pPr>
            <w:r>
              <w:rPr>
                <w:rFonts w:ascii="Arial" w:cs="Arial" w:eastAsia="Arial" w:hAnsi="Arial"/>
                <w:sz w:val="16"/>
                <w:szCs w:val="16"/>
                <w:color w:val="0000FF"/>
              </w:rPr>
              <w:t>Act of 2002.</w:t>
            </w:r>
          </w:p>
        </w:tc>
        <w:tc>
          <w:tcPr>
            <w:tcW w:w="240" w:type="dxa"/>
            <w:vAlign w:val="bottom"/>
            <w:gridSpan w:val="9"/>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060" w:type="dxa"/>
            <w:vAlign w:val="bottom"/>
            <w:gridSpan w:val="24"/>
          </w:tcPr>
          <w:p>
            <w:pPr>
              <w:spacing w:after="0" w:line="20" w:lineRule="exact"/>
              <w:rPr>
                <w:sz w:val="1"/>
                <w:szCs w:val="1"/>
                <w:color w:val="auto"/>
              </w:rPr>
            </w:pPr>
          </w:p>
        </w:tc>
      </w:tr>
      <w:tr>
        <w:trPr>
          <w:trHeight w:val="311"/>
        </w:trPr>
        <w:tc>
          <w:tcPr>
            <w:tcW w:w="1120" w:type="dxa"/>
            <w:vAlign w:val="bottom"/>
          </w:tcPr>
          <w:p>
            <w:pPr>
              <w:spacing w:after="0"/>
              <w:rPr>
                <w:sz w:val="20"/>
                <w:szCs w:val="20"/>
                <w:color w:val="auto"/>
              </w:rPr>
            </w:pPr>
            <w:r>
              <w:rPr>
                <w:rFonts w:ascii="Arial" w:cs="Arial" w:eastAsia="Arial" w:hAnsi="Arial"/>
                <w:sz w:val="16"/>
                <w:szCs w:val="16"/>
                <w:color w:val="auto"/>
              </w:rPr>
              <w:t>101.INS</w:t>
            </w:r>
          </w:p>
        </w:tc>
        <w:tc>
          <w:tcPr>
            <w:tcW w:w="3860" w:type="dxa"/>
            <w:vAlign w:val="bottom"/>
            <w:gridSpan w:val="27"/>
          </w:tcPr>
          <w:p>
            <w:pPr>
              <w:spacing w:after="0"/>
              <w:rPr>
                <w:sz w:val="20"/>
                <w:szCs w:val="20"/>
                <w:color w:val="auto"/>
              </w:rPr>
            </w:pPr>
            <w:r>
              <w:rPr>
                <w:rFonts w:ascii="Arial" w:cs="Arial" w:eastAsia="Arial" w:hAnsi="Arial"/>
                <w:sz w:val="16"/>
                <w:szCs w:val="16"/>
                <w:color w:val="auto"/>
              </w:rPr>
              <w:t>Inline XBRL Instance Document</w:t>
            </w:r>
          </w:p>
        </w:tc>
      </w:tr>
      <w:tr>
        <w:trPr>
          <w:trHeight w:val="297"/>
        </w:trPr>
        <w:tc>
          <w:tcPr>
            <w:tcW w:w="1120" w:type="dxa"/>
            <w:vAlign w:val="bottom"/>
          </w:tcPr>
          <w:p>
            <w:pPr>
              <w:spacing w:after="0"/>
              <w:rPr>
                <w:sz w:val="20"/>
                <w:szCs w:val="20"/>
                <w:color w:val="auto"/>
              </w:rPr>
            </w:pPr>
            <w:r>
              <w:rPr>
                <w:rFonts w:ascii="Arial" w:cs="Arial" w:eastAsia="Arial" w:hAnsi="Arial"/>
                <w:sz w:val="16"/>
                <w:szCs w:val="16"/>
                <w:color w:val="auto"/>
              </w:rPr>
              <w:t>101.SCH</w:t>
            </w:r>
          </w:p>
        </w:tc>
        <w:tc>
          <w:tcPr>
            <w:tcW w:w="3860" w:type="dxa"/>
            <w:vAlign w:val="bottom"/>
            <w:gridSpan w:val="2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53"/>
        </w:trPr>
        <w:tc>
          <w:tcPr>
            <w:tcW w:w="1120" w:type="dxa"/>
            <w:vAlign w:val="bottom"/>
          </w:tcPr>
          <w:p>
            <w:pPr>
              <w:spacing w:after="0"/>
              <w:rPr>
                <w:sz w:val="20"/>
                <w:szCs w:val="20"/>
                <w:color w:val="auto"/>
              </w:rPr>
            </w:pPr>
            <w:r>
              <w:rPr>
                <w:rFonts w:ascii="Arial" w:cs="Arial" w:eastAsia="Arial" w:hAnsi="Arial"/>
                <w:sz w:val="16"/>
                <w:szCs w:val="16"/>
                <w:color w:val="auto"/>
              </w:rPr>
              <w:t>101.CAL</w:t>
            </w:r>
          </w:p>
        </w:tc>
        <w:tc>
          <w:tcPr>
            <w:tcW w:w="3860" w:type="dxa"/>
            <w:vAlign w:val="bottom"/>
            <w:gridSpan w:val="27"/>
          </w:tcPr>
          <w:p>
            <w:pPr>
              <w:spacing w:after="0"/>
              <w:rPr>
                <w:sz w:val="20"/>
                <w:szCs w:val="20"/>
                <w:color w:val="auto"/>
              </w:rPr>
            </w:pPr>
            <w:r>
              <w:rPr>
                <w:rFonts w:ascii="Arial" w:cs="Arial" w:eastAsia="Arial" w:hAnsi="Arial"/>
                <w:sz w:val="16"/>
                <w:szCs w:val="16"/>
                <w:color w:val="auto"/>
                <w:w w:val="98"/>
              </w:rPr>
              <w:t>Inline XBRL Taxonomy Extension Calculation Linkbase</w:t>
            </w:r>
          </w:p>
        </w:tc>
      </w:tr>
      <w:tr>
        <w:trPr>
          <w:trHeight w:val="206"/>
        </w:trPr>
        <w:tc>
          <w:tcPr>
            <w:tcW w:w="1120" w:type="dxa"/>
            <w:vAlign w:val="bottom"/>
          </w:tcPr>
          <w:p>
            <w:pPr>
              <w:spacing w:after="0"/>
              <w:rPr>
                <w:sz w:val="17"/>
                <w:szCs w:val="17"/>
                <w:color w:val="auto"/>
              </w:rPr>
            </w:pPr>
          </w:p>
        </w:tc>
        <w:tc>
          <w:tcPr>
            <w:tcW w:w="3860" w:type="dxa"/>
            <w:vAlign w:val="bottom"/>
            <w:gridSpan w:val="27"/>
          </w:tcPr>
          <w:p>
            <w:pPr>
              <w:spacing w:after="0"/>
              <w:rPr>
                <w:sz w:val="20"/>
                <w:szCs w:val="20"/>
                <w:color w:val="auto"/>
              </w:rPr>
            </w:pPr>
            <w:r>
              <w:rPr>
                <w:rFonts w:ascii="Arial" w:cs="Arial" w:eastAsia="Arial" w:hAnsi="Arial"/>
                <w:sz w:val="16"/>
                <w:szCs w:val="16"/>
                <w:color w:val="auto"/>
              </w:rPr>
              <w:t>Document</w:t>
            </w:r>
          </w:p>
        </w:tc>
      </w:tr>
      <w:tr>
        <w:trPr>
          <w:trHeight w:val="236"/>
        </w:trPr>
        <w:tc>
          <w:tcPr>
            <w:tcW w:w="1120" w:type="dxa"/>
            <w:vAlign w:val="bottom"/>
          </w:tcPr>
          <w:p>
            <w:pPr>
              <w:spacing w:after="0"/>
              <w:rPr>
                <w:sz w:val="20"/>
                <w:szCs w:val="20"/>
                <w:color w:val="auto"/>
              </w:rPr>
            </w:pPr>
            <w:r>
              <w:rPr>
                <w:rFonts w:ascii="Arial" w:cs="Arial" w:eastAsia="Arial" w:hAnsi="Arial"/>
                <w:sz w:val="16"/>
                <w:szCs w:val="16"/>
                <w:color w:val="auto"/>
              </w:rPr>
              <w:t>101.DEF</w:t>
            </w:r>
          </w:p>
        </w:tc>
        <w:tc>
          <w:tcPr>
            <w:tcW w:w="3860" w:type="dxa"/>
            <w:vAlign w:val="bottom"/>
            <w:gridSpan w:val="27"/>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06"/>
        </w:trPr>
        <w:tc>
          <w:tcPr>
            <w:tcW w:w="1120" w:type="dxa"/>
            <w:vAlign w:val="bottom"/>
          </w:tcPr>
          <w:p>
            <w:pPr>
              <w:spacing w:after="0"/>
              <w:rPr>
                <w:sz w:val="17"/>
                <w:szCs w:val="17"/>
                <w:color w:val="auto"/>
              </w:rPr>
            </w:pPr>
          </w:p>
        </w:tc>
        <w:tc>
          <w:tcPr>
            <w:tcW w:w="3860" w:type="dxa"/>
            <w:vAlign w:val="bottom"/>
            <w:gridSpan w:val="27"/>
          </w:tcPr>
          <w:p>
            <w:pPr>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center"/>
              <w:ind w:right="21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3.1</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October 30, 2020</w:t>
            </w:r>
          </w:p>
        </w:tc>
      </w:tr>
      <w:tr>
        <w:trPr>
          <w:trHeight w:val="432"/>
        </w:trPr>
        <w:tc>
          <w:tcPr>
            <w:tcW w:w="680" w:type="dxa"/>
            <w:vAlign w:val="bottom"/>
          </w:tcPr>
          <w:p>
            <w:pPr>
              <w:jc w:val="center"/>
              <w:ind w:right="21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3.1</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2"/>
              </w:rPr>
              <w:t>August 15, 2022</w:t>
            </w:r>
          </w:p>
        </w:tc>
      </w:tr>
      <w:tr>
        <w:trPr>
          <w:trHeight w:val="365"/>
        </w:trPr>
        <w:tc>
          <w:tcPr>
            <w:tcW w:w="680" w:type="dxa"/>
            <w:vAlign w:val="bottom"/>
          </w:tcPr>
          <w:p>
            <w:pPr>
              <w:jc w:val="center"/>
              <w:ind w:right="219"/>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3.2</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2"/>
              </w:rPr>
              <w:t>August 12, 2021</w:t>
            </w:r>
          </w:p>
        </w:tc>
      </w:tr>
      <w:tr>
        <w:trPr>
          <w:trHeight w:val="445"/>
        </w:trPr>
        <w:tc>
          <w:tcPr>
            <w:tcW w:w="680" w:type="dxa"/>
            <w:vAlign w:val="bottom"/>
          </w:tcPr>
          <w:p>
            <w:pPr>
              <w:jc w:val="center"/>
              <w:ind w:right="21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3.1</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October 1, 2021</w:t>
            </w:r>
          </w:p>
        </w:tc>
      </w:tr>
      <w:tr>
        <w:trPr>
          <w:trHeight w:val="486"/>
        </w:trPr>
        <w:tc>
          <w:tcPr>
            <w:tcW w:w="680" w:type="dxa"/>
            <w:vAlign w:val="bottom"/>
          </w:tcPr>
          <w:p>
            <w:pPr>
              <w:jc w:val="center"/>
              <w:ind w:right="219"/>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4.1</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October 20, 2020</w:t>
            </w:r>
          </w:p>
        </w:tc>
      </w:tr>
      <w:tr>
        <w:trPr>
          <w:trHeight w:val="365"/>
        </w:trPr>
        <w:tc>
          <w:tcPr>
            <w:tcW w:w="680" w:type="dxa"/>
            <w:vAlign w:val="bottom"/>
          </w:tcPr>
          <w:p>
            <w:pPr>
              <w:jc w:val="center"/>
              <w:ind w:right="21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4.1</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October 1, 2021</w:t>
            </w:r>
          </w:p>
        </w:tc>
      </w:tr>
      <w:tr>
        <w:trPr>
          <w:trHeight w:val="432"/>
        </w:trPr>
        <w:tc>
          <w:tcPr>
            <w:tcW w:w="680" w:type="dxa"/>
            <w:vAlign w:val="bottom"/>
          </w:tcPr>
          <w:p>
            <w:pPr>
              <w:jc w:val="center"/>
              <w:ind w:right="21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4.1</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January 27, 2022</w:t>
            </w:r>
          </w:p>
        </w:tc>
      </w:tr>
      <w:tr>
        <w:trPr>
          <w:trHeight w:val="364"/>
        </w:trPr>
        <w:tc>
          <w:tcPr>
            <w:tcW w:w="680" w:type="dxa"/>
            <w:vAlign w:val="bottom"/>
          </w:tcPr>
          <w:p>
            <w:pPr>
              <w:jc w:val="center"/>
              <w:ind w:right="21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4.2</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w w:val="90"/>
              </w:rPr>
              <w:t>January 27, 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987" w:lineRule="exact"/>
        <w:rPr>
          <w:sz w:val="20"/>
          <w:szCs w:val="20"/>
          <w:color w:val="auto"/>
        </w:rPr>
      </w:pPr>
    </w:p>
    <w:p>
      <w:pPr>
        <w:sectPr>
          <w:pgSz w:w="11900" w:h="16838" w:orient="portrait"/>
          <w:cols w:equalWidth="0" w:num="3">
            <w:col w:w="4980" w:space="180"/>
            <w:col w:w="4620" w:space="720"/>
            <w:col w:w="740"/>
          </w:cols>
          <w:pgMar w:left="320" w:top="13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56" w:name="page57"/>
    <w:bookmarkEnd w:id="56"/>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101.LAB</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101.PRE</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w:t>
      </w:r>
    </w:p>
    <w:p>
      <w:pPr>
        <w:spacing w:after="0"/>
        <w:rPr>
          <w:sz w:val="20"/>
          <w:szCs w:val="20"/>
          <w:color w:val="auto"/>
        </w:rPr>
      </w:pPr>
      <w:r>
        <w:rPr>
          <w:rFonts w:ascii="Arial" w:cs="Arial" w:eastAsia="Arial" w:hAnsi="Arial"/>
          <w:sz w:val="16"/>
          <w:szCs w:val="16"/>
          <w:color w:val="auto"/>
        </w:rPr>
        <w:t>Document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Document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w:t>
      </w:r>
    </w:p>
    <w:p>
      <w:pPr>
        <w:spacing w:after="0"/>
        <w:rPr>
          <w:sz w:val="20"/>
          <w:szCs w:val="20"/>
          <w:color w:val="auto"/>
        </w:rPr>
      </w:pPr>
      <w:r>
        <w:rPr>
          <w:rFonts w:ascii="Arial" w:cs="Arial" w:eastAsia="Arial" w:hAnsi="Arial"/>
          <w:sz w:val="16"/>
          <w:szCs w:val="16"/>
          <w:color w:val="auto"/>
        </w:rPr>
        <w:t>XBRL and contained in Exhibit 101).</w:t>
      </w:r>
    </w:p>
    <w:p>
      <w:pPr>
        <w:spacing w:after="0" w:line="200" w:lineRule="exact"/>
        <w:rPr>
          <w:sz w:val="20"/>
          <w:szCs w:val="20"/>
          <w:color w:val="auto"/>
        </w:rPr>
      </w:pPr>
    </w:p>
    <w:p>
      <w:pPr>
        <w:sectPr>
          <w:pgSz w:w="11900" w:h="16838" w:orient="portrait"/>
          <w:cols w:equalWidth="0" w:num="2">
            <w:col w:w="640" w:space="500"/>
            <w:col w:w="9840"/>
          </w:cols>
          <w:pgMar w:left="320" w:top="1377" w:right="59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3" w:lineRule="exact"/>
        <w:rPr>
          <w:sz w:val="20"/>
          <w:szCs w:val="20"/>
          <w:color w:val="auto"/>
        </w:rPr>
      </w:pPr>
    </w:p>
    <w:p>
      <w:pPr>
        <w:ind w:left="80" w:hanging="72"/>
        <w:spacing w:after="0" w:line="275" w:lineRule="auto"/>
        <w:tabs>
          <w:tab w:leader="none" w:pos="1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77" w:right="59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Exchange Act of 1934, the registrant has duly caused this Quarterly Report on Form 10-Q to be signed on its behalf by the undersigned.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920" w:type="dxa"/>
            <w:vAlign w:val="bottom"/>
          </w:tcPr>
          <w:p>
            <w:pPr>
              <w:ind w:left="108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540"/>
        </w:trPr>
        <w:tc>
          <w:tcPr>
            <w:tcW w:w="2860" w:type="dxa"/>
            <w:vAlign w:val="bottom"/>
          </w:tcPr>
          <w:p>
            <w:pPr>
              <w:spacing w:after="0"/>
              <w:rPr>
                <w:sz w:val="20"/>
                <w:szCs w:val="20"/>
                <w:color w:val="auto"/>
              </w:rPr>
            </w:pPr>
            <w:r>
              <w:rPr>
                <w:rFonts w:ascii="Arial" w:cs="Arial" w:eastAsia="Arial" w:hAnsi="Arial"/>
                <w:sz w:val="18"/>
                <w:szCs w:val="18"/>
                <w:color w:val="auto"/>
              </w:rPr>
              <w:t>Date: November 9, 2022</w:t>
            </w:r>
          </w:p>
        </w:tc>
        <w:tc>
          <w:tcPr>
            <w:tcW w:w="1920" w:type="dxa"/>
            <w:vAlign w:val="bottom"/>
          </w:tcPr>
          <w:p>
            <w:pPr>
              <w:ind w:left="1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Alexander Timm</w:t>
            </w:r>
          </w:p>
        </w:tc>
      </w:tr>
      <w:tr>
        <w:trPr>
          <w:trHeight w:val="237"/>
        </w:trPr>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Alexander Timm</w:t>
            </w:r>
          </w:p>
        </w:tc>
      </w:tr>
      <w:tr>
        <w:trPr>
          <w:trHeight w:val="257"/>
        </w:trPr>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26"/>
        </w:trPr>
        <w:tc>
          <w:tcPr>
            <w:tcW w:w="2860" w:type="dxa"/>
            <w:vAlign w:val="bottom"/>
          </w:tcPr>
          <w:p>
            <w:pPr>
              <w:spacing w:after="0"/>
              <w:rPr>
                <w:sz w:val="24"/>
                <w:szCs w:val="24"/>
                <w:color w:val="auto"/>
              </w:rPr>
            </w:pPr>
          </w:p>
        </w:tc>
        <w:tc>
          <w:tcPr>
            <w:tcW w:w="1920" w:type="dxa"/>
            <w:vAlign w:val="bottom"/>
          </w:tcPr>
          <w:p>
            <w:pPr>
              <w:ind w:left="108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540"/>
        </w:trPr>
        <w:tc>
          <w:tcPr>
            <w:tcW w:w="2860" w:type="dxa"/>
            <w:vAlign w:val="bottom"/>
          </w:tcPr>
          <w:p>
            <w:pPr>
              <w:spacing w:after="0"/>
              <w:rPr>
                <w:sz w:val="20"/>
                <w:szCs w:val="20"/>
                <w:color w:val="auto"/>
              </w:rPr>
            </w:pPr>
            <w:r>
              <w:rPr>
                <w:rFonts w:ascii="Arial" w:cs="Arial" w:eastAsia="Arial" w:hAnsi="Arial"/>
                <w:sz w:val="18"/>
                <w:szCs w:val="18"/>
                <w:color w:val="auto"/>
              </w:rPr>
              <w:t>Date: November 9, 2022</w:t>
            </w:r>
          </w:p>
        </w:tc>
        <w:tc>
          <w:tcPr>
            <w:tcW w:w="1920" w:type="dxa"/>
            <w:vAlign w:val="bottom"/>
          </w:tcPr>
          <w:p>
            <w:pPr>
              <w:ind w:left="1080"/>
              <w:spacing w:after="0"/>
              <w:rPr>
                <w:sz w:val="20"/>
                <w:szCs w:val="20"/>
                <w:color w:val="auto"/>
              </w:rPr>
            </w:pPr>
            <w:r>
              <w:rPr>
                <w:rFonts w:ascii="Arial" w:cs="Arial" w:eastAsia="Arial" w:hAnsi="Arial"/>
                <w:sz w:val="18"/>
                <w:szCs w:val="18"/>
                <w:color w:val="auto"/>
              </w:rPr>
              <w:t>By:</w:t>
            </w:r>
          </w:p>
        </w:tc>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Robert Bateman</w:t>
            </w:r>
          </w:p>
        </w:tc>
      </w:tr>
      <w:tr>
        <w:trPr>
          <w:trHeight w:val="237"/>
        </w:trPr>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Robert Bateman</w:t>
            </w:r>
          </w:p>
        </w:tc>
      </w:tr>
      <w:tr>
        <w:trPr>
          <w:trHeight w:val="257"/>
        </w:trPr>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257"/>
        </w:trPr>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526"/>
        </w:trPr>
        <w:tc>
          <w:tcPr>
            <w:tcW w:w="2860" w:type="dxa"/>
            <w:vAlign w:val="bottom"/>
          </w:tcPr>
          <w:p>
            <w:pPr>
              <w:spacing w:after="0"/>
              <w:rPr>
                <w:sz w:val="24"/>
                <w:szCs w:val="24"/>
                <w:color w:val="auto"/>
              </w:rPr>
            </w:pPr>
          </w:p>
        </w:tc>
        <w:tc>
          <w:tcPr>
            <w:tcW w:w="1920" w:type="dxa"/>
            <w:vAlign w:val="bottom"/>
          </w:tcPr>
          <w:p>
            <w:pPr>
              <w:ind w:left="108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540"/>
        </w:trPr>
        <w:tc>
          <w:tcPr>
            <w:tcW w:w="2860" w:type="dxa"/>
            <w:vAlign w:val="bottom"/>
          </w:tcPr>
          <w:p>
            <w:pPr>
              <w:spacing w:after="0"/>
              <w:rPr>
                <w:sz w:val="20"/>
                <w:szCs w:val="20"/>
                <w:color w:val="auto"/>
              </w:rPr>
            </w:pPr>
            <w:r>
              <w:rPr>
                <w:rFonts w:ascii="Arial" w:cs="Arial" w:eastAsia="Arial" w:hAnsi="Arial"/>
                <w:sz w:val="18"/>
                <w:szCs w:val="18"/>
                <w:color w:val="auto"/>
              </w:rPr>
              <w:t>Date: November 9, 2022</w:t>
            </w:r>
          </w:p>
        </w:tc>
        <w:tc>
          <w:tcPr>
            <w:tcW w:w="1920" w:type="dxa"/>
            <w:vAlign w:val="bottom"/>
          </w:tcPr>
          <w:p>
            <w:pPr>
              <w:ind w:left="1080"/>
              <w:spacing w:after="0"/>
              <w:rPr>
                <w:sz w:val="20"/>
                <w:szCs w:val="20"/>
                <w:color w:val="auto"/>
              </w:rPr>
            </w:pPr>
            <w:r>
              <w:rPr>
                <w:rFonts w:ascii="Arial" w:cs="Arial" w:eastAsia="Arial" w:hAnsi="Arial"/>
                <w:sz w:val="18"/>
                <w:szCs w:val="18"/>
                <w:color w:val="auto"/>
              </w:rPr>
              <w:t>By:</w:t>
            </w:r>
          </w:p>
        </w:tc>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Megan Binkley</w:t>
            </w:r>
          </w:p>
        </w:tc>
      </w:tr>
      <w:tr>
        <w:trPr>
          <w:trHeight w:val="237"/>
        </w:trPr>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Megan Binkley</w:t>
            </w:r>
          </w:p>
        </w:tc>
      </w:tr>
      <w:tr>
        <w:trPr>
          <w:trHeight w:val="257"/>
        </w:trPr>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r>
        <w:trPr>
          <w:trHeight w:val="256"/>
        </w:trPr>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3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EMPLOYEE STOCK PURCHASE PLAN</w:t>
      </w:r>
    </w:p>
    <w:p>
      <w:pPr>
        <w:spacing w:after="0" w:line="302" w:lineRule="exact"/>
        <w:rPr>
          <w:sz w:val="20"/>
          <w:szCs w:val="20"/>
          <w:color w:val="auto"/>
        </w:rPr>
      </w:pPr>
    </w:p>
    <w:p>
      <w:pPr>
        <w:ind w:right="720" w:firstLine="220"/>
        <w:spacing w:after="0" w:line="275" w:lineRule="auto"/>
        <w:rPr>
          <w:sz w:val="20"/>
          <w:szCs w:val="20"/>
          <w:color w:val="auto"/>
        </w:rPr>
      </w:pPr>
      <w:r>
        <w:rPr>
          <w:rFonts w:ascii="Arial" w:cs="Arial" w:eastAsia="Arial" w:hAnsi="Arial"/>
          <w:sz w:val="20"/>
          <w:szCs w:val="20"/>
          <w:color w:val="auto"/>
        </w:rPr>
        <w:t>WHEREAS, the Board of Directors (the “Board”) of Root, Inc. (the “Company”) has adopted the 2020 Employee Stock Purchase Plan (the “2020 ESPP”); and</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20"/>
          <w:szCs w:val="20"/>
          <w:color w:val="auto"/>
        </w:rPr>
        <w:t>WHEREAS, the Board adopted the 2020 ESPP, effective as of October 18, 2020; and</w:t>
      </w:r>
    </w:p>
    <w:p>
      <w:pPr>
        <w:spacing w:after="0" w:line="270" w:lineRule="exact"/>
        <w:rPr>
          <w:sz w:val="20"/>
          <w:szCs w:val="20"/>
          <w:color w:val="auto"/>
        </w:rPr>
      </w:pPr>
    </w:p>
    <w:p>
      <w:pPr>
        <w:ind w:right="380" w:firstLine="648"/>
        <w:spacing w:after="0" w:line="289" w:lineRule="auto"/>
        <w:rPr>
          <w:sz w:val="20"/>
          <w:szCs w:val="20"/>
          <w:color w:val="auto"/>
        </w:rPr>
      </w:pPr>
      <w:r>
        <w:rPr>
          <w:rFonts w:ascii="Arial" w:cs="Arial" w:eastAsia="Arial" w:hAnsi="Arial"/>
          <w:sz w:val="20"/>
          <w:szCs w:val="20"/>
          <w:color w:val="auto"/>
        </w:rPr>
        <w:t>WHEREAS, on June 7, 2022, the Company’s stockholders approved a reverse stock split of the Company’s common stock;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Board delegated to a subcommittee of the Board authority to approve the final split ratio; and</w:t>
      </w:r>
    </w:p>
    <w:p>
      <w:pPr>
        <w:spacing w:after="0" w:line="283" w:lineRule="exact"/>
        <w:rPr>
          <w:sz w:val="20"/>
          <w:szCs w:val="20"/>
          <w:color w:val="auto"/>
        </w:rPr>
      </w:pPr>
    </w:p>
    <w:p>
      <w:pPr>
        <w:ind w:right="240" w:firstLine="648"/>
        <w:spacing w:after="0" w:line="275" w:lineRule="auto"/>
        <w:rPr>
          <w:sz w:val="20"/>
          <w:szCs w:val="20"/>
          <w:color w:val="auto"/>
        </w:rPr>
      </w:pPr>
      <w:r>
        <w:rPr>
          <w:rFonts w:ascii="Arial" w:cs="Arial" w:eastAsia="Arial" w:hAnsi="Arial"/>
          <w:sz w:val="20"/>
          <w:szCs w:val="20"/>
          <w:color w:val="auto"/>
        </w:rPr>
        <w:t>WHEREAS, on August 1, 2022, a subcommittee of the Board approved a one-for-eighteen reverse stock split effective as of 5:00 p.m. eastern time on August 12, 2022; and</w:t>
      </w:r>
    </w:p>
    <w:p>
      <w:pPr>
        <w:spacing w:after="0" w:line="242" w:lineRule="exact"/>
        <w:rPr>
          <w:sz w:val="20"/>
          <w:szCs w:val="20"/>
          <w:color w:val="auto"/>
        </w:rPr>
      </w:pPr>
    </w:p>
    <w:p>
      <w:pPr>
        <w:ind w:right="100" w:firstLine="648"/>
        <w:spacing w:after="0" w:line="275" w:lineRule="auto"/>
        <w:rPr>
          <w:sz w:val="20"/>
          <w:szCs w:val="20"/>
          <w:color w:val="auto"/>
        </w:rPr>
      </w:pPr>
      <w:r>
        <w:rPr>
          <w:rFonts w:ascii="Arial" w:cs="Arial" w:eastAsia="Arial" w:hAnsi="Arial"/>
          <w:sz w:val="20"/>
          <w:szCs w:val="20"/>
          <w:color w:val="auto"/>
        </w:rPr>
        <w:t>WHEREAS, Section 12 of the 2020 ESPP permits the Board to amend the 2020 ESPP from time to time, subject only to certain limitations specified therein, none of which are applicable to this amendment; and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this amendment will not require stockholder approval because it relates to a capitalization adjustment; and</w:t>
      </w:r>
    </w:p>
    <w:p>
      <w:pPr>
        <w:spacing w:after="0" w:line="270" w:lineRule="exact"/>
        <w:rPr>
          <w:sz w:val="20"/>
          <w:szCs w:val="20"/>
          <w:color w:val="auto"/>
        </w:rPr>
      </w:pPr>
    </w:p>
    <w:p>
      <w:pPr>
        <w:ind w:right="920" w:firstLine="648"/>
        <w:spacing w:after="0" w:line="289" w:lineRule="auto"/>
        <w:rPr>
          <w:sz w:val="20"/>
          <w:szCs w:val="20"/>
          <w:color w:val="auto"/>
        </w:rPr>
      </w:pPr>
      <w:r>
        <w:rPr>
          <w:rFonts w:ascii="Arial" w:cs="Arial" w:eastAsia="Arial" w:hAnsi="Arial"/>
          <w:sz w:val="20"/>
          <w:szCs w:val="20"/>
          <w:color w:val="auto"/>
        </w:rPr>
        <w:t>WHEREAS, the Board and the Compensation Committee authorized any officer of the Company to adopt such amendment on behalf of the Board;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following amendment is hereby made part of the 2020 ESPP, effective as of August 12, 2022:</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introductory sentence of Section 2(a) is hereby deleted in its entirety and replaced with the following:</w:t>
      </w:r>
    </w:p>
    <w:p>
      <w:pPr>
        <w:spacing w:after="0" w:line="24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Share Reserve</w:t>
      </w:r>
      <w:r>
        <w:rPr>
          <w:rFonts w:ascii="Arial" w:cs="Arial" w:eastAsia="Arial" w:hAnsi="Arial"/>
          <w:sz w:val="20"/>
          <w:szCs w:val="20"/>
          <w:color w:val="auto"/>
        </w:rPr>
        <w:t>. Subject to the provisions of Section 11(a) relating to Capitalization Adjustments, the maximum number</w:t>
      </w:r>
    </w:p>
    <w:p>
      <w:pPr>
        <w:spacing w:after="0" w:line="64" w:lineRule="exact"/>
        <w:rPr>
          <w:rFonts w:ascii="Arial" w:cs="Arial" w:eastAsia="Arial" w:hAnsi="Arial"/>
          <w:sz w:val="20"/>
          <w:szCs w:val="20"/>
          <w:b w:val="1"/>
          <w:bCs w:val="1"/>
          <w:color w:val="auto"/>
        </w:rPr>
      </w:pPr>
    </w:p>
    <w:p>
      <w:pPr>
        <w:ind w:right="420"/>
        <w:spacing w:after="0" w:line="289" w:lineRule="auto"/>
        <w:rPr>
          <w:rFonts w:ascii="Arial" w:cs="Arial" w:eastAsia="Arial" w:hAnsi="Arial"/>
          <w:sz w:val="20"/>
          <w:szCs w:val="20"/>
          <w:b w:val="1"/>
          <w:bCs w:val="1"/>
          <w:color w:val="auto"/>
        </w:rPr>
      </w:pPr>
      <w:r>
        <w:rPr>
          <w:rFonts w:ascii="Arial" w:cs="Arial" w:eastAsia="Arial" w:hAnsi="Arial"/>
          <w:sz w:val="19"/>
          <w:szCs w:val="19"/>
          <w:color w:val="auto"/>
        </w:rPr>
        <w:t>of shares of Class A Common Stock that may be issued under the Plan will not exceed 277,777 shares of Class A Common Stock, plus the number of shares of Class A Common Stock that are automatically added on January 1st of each year for a</w:t>
      </w:r>
    </w:p>
    <w:p>
      <w:pPr>
        <w:spacing w:after="0" w:line="289" w:lineRule="auto"/>
        <w:rPr>
          <w:rFonts w:ascii="Arial" w:cs="Arial" w:eastAsia="Arial" w:hAnsi="Arial"/>
          <w:sz w:val="20"/>
          <w:szCs w:val="20"/>
          <w:b w:val="1"/>
          <w:bCs w:val="1"/>
          <w:color w:val="auto"/>
        </w:rPr>
      </w:pPr>
      <w:r>
        <w:rPr>
          <w:rFonts w:ascii="Arial" w:cs="Arial" w:eastAsia="Arial" w:hAnsi="Arial"/>
          <w:sz w:val="19"/>
          <w:szCs w:val="19"/>
          <w:color w:val="auto"/>
        </w:rPr>
        <w:t>period of up to ten years, commencing on the first January 1 following the year in which the IPO Date occurs and ending on (and including) January 1, 2030, in an amount equal to the lesser of (i) 1% of the total number of shares of Capital Stock outstanding</w:t>
      </w:r>
    </w:p>
    <w:p>
      <w:pPr>
        <w:ind w:right="320"/>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on December 31st of the preceding calendar year, and (ii) 416,666 shares of Class A Common Stock. Notwithstanding the foregoing, the Board may act prior to the first day of any calendar year to provide that there will be no January 1st increase in the share reserve for such calendar year or that the increase</w:t>
      </w:r>
    </w:p>
    <w:p>
      <w:pPr>
        <w:sectPr>
          <w:pgSz w:w="11900" w:h="16838" w:orient="portrait"/>
          <w:cols w:equalWidth="0" w:num="1">
            <w:col w:w="11240"/>
          </w:cols>
          <w:pgMar w:left="320" w:top="1421" w:right="339" w:bottom="1440" w:gutter="0" w:footer="0" w:header="0"/>
        </w:sectPr>
      </w:pPr>
    </w:p>
    <w:bookmarkStart w:id="59" w:name="page60"/>
    <w:bookmarkEnd w:id="59"/>
    <w:p>
      <w:pPr>
        <w:spacing w:after="0" w:line="6" w:lineRule="exact"/>
        <w:rPr>
          <w:sz w:val="20"/>
          <w:szCs w:val="20"/>
          <w:color w:val="auto"/>
        </w:rPr>
      </w:pPr>
    </w:p>
    <w:p>
      <w:pPr>
        <w:ind w:right="220"/>
        <w:spacing w:after="0" w:line="276" w:lineRule="auto"/>
        <w:rPr>
          <w:sz w:val="20"/>
          <w:szCs w:val="20"/>
          <w:color w:val="auto"/>
        </w:rPr>
      </w:pPr>
      <w:r>
        <w:rPr>
          <w:rFonts w:ascii="Arial" w:cs="Arial" w:eastAsia="Arial" w:hAnsi="Arial"/>
          <w:sz w:val="20"/>
          <w:szCs w:val="20"/>
          <w:color w:val="auto"/>
        </w:rPr>
        <w:t>in the share reserve for such calendar year will be a lesser number of shares of Class A Common Stock than would otherwise occur pursuant to the preceding sentence. For the avoidance of doubt, up to the maximum number of shares of Class A Common Stock reserved under this Section 3(a) may be used to satisfy purchases of Class A Common Stock under the 423 Component and any remaining portion of such maximum number of shares may be used to satisfy purchases of Class A Common Stock under the Non-423 Component.</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executed this First Amendment to the 2020 Employee Stock Purchase Plan.</w:t>
      </w:r>
    </w:p>
    <w:p>
      <w:pPr>
        <w:spacing w:after="0" w:line="281"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Root, Inc.</w:t>
      </w:r>
    </w:p>
    <w:p>
      <w:pPr>
        <w:spacing w:after="0" w:line="297"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0"/>
          <w:szCs w:val="20"/>
          <w:color w:val="auto"/>
        </w:rPr>
        <w:t>By:</w:t>
        <w:tab/>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-22860</wp:posOffset>
            </wp:positionV>
            <wp:extent cx="13569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Alexander Timm</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Executive Officer</w:t>
      </w:r>
    </w:p>
    <w:p>
      <w:pPr>
        <w:spacing w:after="0" w:line="4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Date: August 12, 2022</w:t>
      </w:r>
    </w:p>
    <w:p>
      <w:pPr>
        <w:sectPr>
          <w:pgSz w:w="11900" w:h="16838" w:orient="portrait"/>
          <w:cols w:equalWidth="0" w:num="1">
            <w:col w:w="11220"/>
          </w:cols>
          <w:pgMar w:left="320" w:top="1440"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302" w:lineRule="exact"/>
        <w:rPr>
          <w:sz w:val="20"/>
          <w:szCs w:val="20"/>
          <w:color w:val="auto"/>
        </w:rPr>
      </w:pPr>
    </w:p>
    <w:p>
      <w:pPr>
        <w:ind w:right="120" w:firstLine="220"/>
        <w:spacing w:after="0" w:line="274" w:lineRule="auto"/>
        <w:rPr>
          <w:sz w:val="20"/>
          <w:szCs w:val="20"/>
          <w:color w:val="auto"/>
        </w:rPr>
      </w:pPr>
      <w:r>
        <w:rPr>
          <w:rFonts w:ascii="Arial" w:cs="Arial" w:eastAsia="Arial" w:hAnsi="Arial"/>
          <w:sz w:val="20"/>
          <w:szCs w:val="20"/>
          <w:color w:val="auto"/>
        </w:rPr>
        <w:t>WHEREAS, the Board of Directors (the “Board”) of Root, Inc. (the “Company”) has adopted the 2020 Equity Incentive Plan (the “2020 Plan”) for the benefit of the 2020 Plan participants and to provide incentives to attract, retain and motivate eligible persons whose present and potential contributions are important to the success of the Company, its parent and subsidiaries, by offering them an opportunity to participate in the Company’s future performance through equity awards; and</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WHEREAS, the Board adopted the 2020 Equity Incentive Plan, effective as of October 18, 2020; and</w:t>
      </w:r>
    </w:p>
    <w:p>
      <w:pPr>
        <w:spacing w:after="0" w:line="270" w:lineRule="exact"/>
        <w:rPr>
          <w:sz w:val="20"/>
          <w:szCs w:val="20"/>
          <w:color w:val="auto"/>
        </w:rPr>
      </w:pPr>
    </w:p>
    <w:p>
      <w:pPr>
        <w:ind w:right="60" w:firstLine="648"/>
        <w:spacing w:after="0" w:line="289" w:lineRule="auto"/>
        <w:rPr>
          <w:sz w:val="20"/>
          <w:szCs w:val="20"/>
          <w:color w:val="auto"/>
        </w:rPr>
      </w:pPr>
      <w:r>
        <w:rPr>
          <w:rFonts w:ascii="Arial" w:cs="Arial" w:eastAsia="Arial" w:hAnsi="Arial"/>
          <w:sz w:val="20"/>
          <w:szCs w:val="20"/>
          <w:color w:val="auto"/>
        </w:rPr>
        <w:t>WHEREAS, the Board determined that there shall be no new equity grants issued under the 2015 Plan after October 19, 2020 and all future equity grants are to be issued under the 2020 Plan; and</w:t>
      </w:r>
    </w:p>
    <w:p>
      <w:pPr>
        <w:spacing w:after="0" w:line="216" w:lineRule="exact"/>
        <w:rPr>
          <w:sz w:val="20"/>
          <w:szCs w:val="20"/>
          <w:color w:val="auto"/>
        </w:rPr>
      </w:pPr>
    </w:p>
    <w:p>
      <w:pPr>
        <w:ind w:right="380" w:firstLine="648"/>
        <w:spacing w:after="0" w:line="289" w:lineRule="auto"/>
        <w:rPr>
          <w:sz w:val="20"/>
          <w:szCs w:val="20"/>
          <w:color w:val="auto"/>
        </w:rPr>
      </w:pPr>
      <w:r>
        <w:rPr>
          <w:rFonts w:ascii="Arial" w:cs="Arial" w:eastAsia="Arial" w:hAnsi="Arial"/>
          <w:sz w:val="20"/>
          <w:szCs w:val="20"/>
          <w:color w:val="auto"/>
        </w:rPr>
        <w:t>WHEREAS, on June 7, 2022, the Company’s stockholders approved a reverse stock split of the Company’s common stock;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Board delegated to a subcommittee of the Board authority to approve the final split ratio; and</w:t>
      </w:r>
    </w:p>
    <w:p>
      <w:pPr>
        <w:spacing w:after="0" w:line="283" w:lineRule="exact"/>
        <w:rPr>
          <w:sz w:val="20"/>
          <w:szCs w:val="20"/>
          <w:color w:val="auto"/>
        </w:rPr>
      </w:pPr>
    </w:p>
    <w:p>
      <w:pPr>
        <w:ind w:right="240" w:firstLine="648"/>
        <w:spacing w:after="0" w:line="275" w:lineRule="auto"/>
        <w:rPr>
          <w:sz w:val="20"/>
          <w:szCs w:val="20"/>
          <w:color w:val="auto"/>
        </w:rPr>
      </w:pPr>
      <w:r>
        <w:rPr>
          <w:rFonts w:ascii="Arial" w:cs="Arial" w:eastAsia="Arial" w:hAnsi="Arial"/>
          <w:sz w:val="20"/>
          <w:szCs w:val="20"/>
          <w:color w:val="auto"/>
        </w:rPr>
        <w:t>WHEREAS, on August 1, 2022, a subcommittee of the Board approved a one-for-eighteen reverse stock split effective as of 5:00 p.m. eastern time on August 12, 2022; and</w:t>
      </w:r>
    </w:p>
    <w:p>
      <w:pPr>
        <w:spacing w:after="0" w:line="242" w:lineRule="exact"/>
        <w:rPr>
          <w:sz w:val="20"/>
          <w:szCs w:val="20"/>
          <w:color w:val="auto"/>
        </w:rPr>
      </w:pPr>
    </w:p>
    <w:p>
      <w:pPr>
        <w:ind w:right="240" w:firstLine="648"/>
        <w:spacing w:after="0" w:line="275" w:lineRule="auto"/>
        <w:rPr>
          <w:sz w:val="20"/>
          <w:szCs w:val="20"/>
          <w:color w:val="auto"/>
        </w:rPr>
      </w:pPr>
      <w:r>
        <w:rPr>
          <w:rFonts w:ascii="Arial" w:cs="Arial" w:eastAsia="Arial" w:hAnsi="Arial"/>
          <w:sz w:val="20"/>
          <w:szCs w:val="20"/>
          <w:color w:val="auto"/>
        </w:rPr>
        <w:t>WHEREAS, Section 7(b) of the 2020 Plan permits the Board to amend the 2020 Plan from time to time, subject only to certain limitations specified therein, none of which are applicable to this amendment; and</w:t>
      </w:r>
    </w:p>
    <w:p>
      <w:pPr>
        <w:spacing w:after="0" w:line="242" w:lineRule="exact"/>
        <w:rPr>
          <w:sz w:val="20"/>
          <w:szCs w:val="20"/>
          <w:color w:val="auto"/>
        </w:rPr>
      </w:pPr>
    </w:p>
    <w:p>
      <w:pPr>
        <w:ind w:right="320" w:firstLine="648"/>
        <w:spacing w:after="0" w:line="275" w:lineRule="auto"/>
        <w:rPr>
          <w:sz w:val="20"/>
          <w:szCs w:val="20"/>
          <w:color w:val="auto"/>
        </w:rPr>
      </w:pPr>
      <w:r>
        <w:rPr>
          <w:rFonts w:ascii="Arial" w:cs="Arial" w:eastAsia="Arial" w:hAnsi="Arial"/>
          <w:sz w:val="20"/>
          <w:szCs w:val="20"/>
          <w:color w:val="auto"/>
        </w:rPr>
        <w:t>WHEREAS, this amendment will not require stockholder approval because it does not represent a material revision to the 2020 Plan; and</w:t>
      </w:r>
    </w:p>
    <w:p>
      <w:pPr>
        <w:spacing w:after="0" w:line="242" w:lineRule="exact"/>
        <w:rPr>
          <w:sz w:val="20"/>
          <w:szCs w:val="20"/>
          <w:color w:val="auto"/>
        </w:rPr>
      </w:pPr>
    </w:p>
    <w:p>
      <w:pPr>
        <w:ind w:right="920" w:firstLine="648"/>
        <w:spacing w:after="0" w:line="275" w:lineRule="auto"/>
        <w:rPr>
          <w:sz w:val="20"/>
          <w:szCs w:val="20"/>
          <w:color w:val="auto"/>
        </w:rPr>
      </w:pPr>
      <w:r>
        <w:rPr>
          <w:rFonts w:ascii="Arial" w:cs="Arial" w:eastAsia="Arial" w:hAnsi="Arial"/>
          <w:sz w:val="20"/>
          <w:szCs w:val="20"/>
          <w:color w:val="auto"/>
        </w:rPr>
        <w:t>WHEREAS, the Board and the Compensation Committee authorized any officer of the Company to adopt such amendment on behalf of the Board; and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following amendment is hereby made part of the 2020 Plan, effective as of August 12, 2022:</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The introductory sentence of Section 2(a) is hereby deleted in its entirety and replaced with the following:</w:t>
      </w:r>
    </w:p>
    <w:p>
      <w:pPr>
        <w:sectPr>
          <w:pgSz w:w="11900" w:h="16838" w:orient="portrait"/>
          <w:cols w:equalWidth="0" w:num="1">
            <w:col w:w="11240"/>
          </w:cols>
          <w:pgMar w:left="320" w:top="1421" w:right="339" w:bottom="1440" w:gutter="0" w:footer="0" w:header="0"/>
        </w:sectPr>
      </w:pPr>
    </w:p>
    <w:bookmarkStart w:id="61" w:name="page62"/>
    <w:bookmarkEnd w:id="61"/>
    <w:p>
      <w:pPr>
        <w:ind w:left="660" w:hanging="652"/>
        <w:spacing w:after="0"/>
        <w:tabs>
          <w:tab w:leader="none" w:pos="66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Share Reserve</w:t>
      </w:r>
      <w:r>
        <w:rPr>
          <w:rFonts w:ascii="Arial" w:cs="Arial" w:eastAsia="Arial" w:hAnsi="Arial"/>
          <w:sz w:val="19"/>
          <w:szCs w:val="19"/>
          <w:color w:val="auto"/>
        </w:rPr>
        <w:t>. Subject to adjustment in accordance with Section 2(c) and any adjustments as necessary to implement</w:t>
      </w:r>
    </w:p>
    <w:p>
      <w:pPr>
        <w:spacing w:after="0" w:line="75" w:lineRule="exact"/>
        <w:rPr>
          <w:rFonts w:ascii="Arial" w:cs="Arial" w:eastAsia="Arial" w:hAnsi="Arial"/>
          <w:sz w:val="19"/>
          <w:szCs w:val="19"/>
          <w:b w:val="1"/>
          <w:bCs w:val="1"/>
          <w:color w:val="auto"/>
        </w:rPr>
      </w:pPr>
    </w:p>
    <w:p>
      <w:pPr>
        <w:ind w:right="80"/>
        <w:spacing w:after="0" w:line="289" w:lineRule="auto"/>
        <w:rPr>
          <w:rFonts w:ascii="Arial" w:cs="Arial" w:eastAsia="Arial" w:hAnsi="Arial"/>
          <w:sz w:val="19"/>
          <w:szCs w:val="19"/>
          <w:b w:val="1"/>
          <w:bCs w:val="1"/>
          <w:color w:val="auto"/>
        </w:rPr>
      </w:pPr>
      <w:r>
        <w:rPr>
          <w:rFonts w:ascii="Arial" w:cs="Arial" w:eastAsia="Arial" w:hAnsi="Arial"/>
          <w:sz w:val="19"/>
          <w:szCs w:val="19"/>
          <w:color w:val="auto"/>
        </w:rPr>
        <w:t>any Capitalization Adjustments, the aggregate number of shares of Class A Common Stock that may be issued pursuant to Awards will not exceed 2,291,546 shares, which number is the sum of: (i) 1,388,888 new shares, plus (ii) a number of shares of</w:t>
      </w:r>
    </w:p>
    <w:p>
      <w:pPr>
        <w:ind w:right="160"/>
        <w:spacing w:after="0" w:line="289" w:lineRule="auto"/>
        <w:rPr>
          <w:rFonts w:ascii="Arial" w:cs="Arial" w:eastAsia="Arial" w:hAnsi="Arial"/>
          <w:sz w:val="19"/>
          <w:szCs w:val="19"/>
          <w:b w:val="1"/>
          <w:bCs w:val="1"/>
          <w:color w:val="auto"/>
        </w:rPr>
      </w:pPr>
      <w:r>
        <w:rPr>
          <w:rFonts w:ascii="Arial" w:cs="Arial" w:eastAsia="Arial" w:hAnsi="Arial"/>
          <w:sz w:val="19"/>
          <w:szCs w:val="19"/>
          <w:color w:val="auto"/>
        </w:rPr>
        <w:t>Class A Common Stock equal to the Prior Plan’s Available Reserve, plus (iii) a number of shares of Class A Common Stock equal to the number of Returning Shares, if any, as such shares become available from time to time. In addition, subject to any</w:t>
      </w:r>
    </w:p>
    <w:p>
      <w:pPr>
        <w:ind w:right="100"/>
        <w:spacing w:after="0" w:line="289" w:lineRule="auto"/>
        <w:rPr>
          <w:rFonts w:ascii="Arial" w:cs="Arial" w:eastAsia="Arial" w:hAnsi="Arial"/>
          <w:sz w:val="19"/>
          <w:szCs w:val="19"/>
          <w:b w:val="1"/>
          <w:bCs w:val="1"/>
          <w:color w:val="auto"/>
        </w:rPr>
      </w:pPr>
      <w:r>
        <w:rPr>
          <w:rFonts w:ascii="Arial" w:cs="Arial" w:eastAsia="Arial" w:hAnsi="Arial"/>
          <w:sz w:val="19"/>
          <w:szCs w:val="19"/>
          <w:color w:val="auto"/>
        </w:rPr>
        <w:t>adjustments as necessary to implement any Capitalization Adjustments, such aggregate number of shares of Class A Common Stock will automatically increase on January 1 of each year for a period of ten years commencing on January 1, 2021 and</w:t>
      </w:r>
    </w:p>
    <w:p>
      <w:pPr>
        <w:jc w:val="both"/>
        <w:spacing w:after="0" w:line="278" w:lineRule="auto"/>
        <w:rPr>
          <w:rFonts w:ascii="Arial" w:cs="Arial" w:eastAsia="Arial" w:hAnsi="Arial"/>
          <w:sz w:val="19"/>
          <w:szCs w:val="19"/>
          <w:b w:val="1"/>
          <w:bCs w:val="1"/>
          <w:color w:val="auto"/>
        </w:rPr>
      </w:pPr>
      <w:r>
        <w:rPr>
          <w:rFonts w:ascii="Arial" w:cs="Arial" w:eastAsia="Arial" w:hAnsi="Arial"/>
          <w:sz w:val="20"/>
          <w:szCs w:val="20"/>
          <w:color w:val="auto"/>
        </w:rPr>
        <w:t>ending on (and including) January 1, 2030, in an amount equal to 4%) of the total number of shares of Capital Stock outstanding on December 31 of the preceding year; provided, however, that the Board may act prior to January 1st of a given year to provide that the increase for such year will be a lesser number of shares of Class A Common Stock.</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Company has executed this First Amendment to the 2020 Equity Incentive Plan.</w:t>
      </w:r>
    </w:p>
    <w:p>
      <w:pPr>
        <w:spacing w:after="0" w:line="28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Root, Inc.</w:t>
      </w:r>
    </w:p>
    <w:p>
      <w:pPr>
        <w:spacing w:after="0" w:line="297"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0"/>
          <w:szCs w:val="20"/>
          <w:color w:val="auto"/>
        </w:rPr>
        <w:t>By:</w:t>
        <w:tab/>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-22860</wp:posOffset>
            </wp:positionV>
            <wp:extent cx="13569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Alexander Timm</w:t>
      </w:r>
    </w:p>
    <w:p>
      <w:pPr>
        <w:spacing w:after="0" w:line="4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Executive Officer</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Date: August 12, 2022</w:t>
      </w:r>
    </w:p>
    <w:p>
      <w:pPr>
        <w:sectPr>
          <w:pgSz w:w="11900" w:h="16838" w:orient="portrait"/>
          <w:cols w:equalWidth="0" w:num="1">
            <w:col w:w="11220"/>
          </w:cols>
          <w:pgMar w:left="320" w:top="1421"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10.3</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EQUITY INCENTIVE PLAN</w:t>
      </w:r>
    </w:p>
    <w:p>
      <w:pPr>
        <w:spacing w:after="0" w:line="294" w:lineRule="exact"/>
        <w:rPr>
          <w:sz w:val="20"/>
          <w:szCs w:val="20"/>
          <w:color w:val="auto"/>
        </w:rPr>
      </w:pPr>
    </w:p>
    <w:p>
      <w:pPr>
        <w:ind w:right="40" w:firstLine="220"/>
        <w:spacing w:after="0" w:line="298" w:lineRule="auto"/>
        <w:rPr>
          <w:sz w:val="20"/>
          <w:szCs w:val="20"/>
          <w:color w:val="auto"/>
        </w:rPr>
      </w:pPr>
      <w:r>
        <w:rPr>
          <w:rFonts w:ascii="Arial" w:cs="Arial" w:eastAsia="Arial" w:hAnsi="Arial"/>
          <w:sz w:val="19"/>
          <w:szCs w:val="19"/>
          <w:color w:val="auto"/>
        </w:rPr>
        <w:t>WHEREAS, the Board of Directors (the “Board”) of Root, Inc. (the “Company”) has adopted the Amended and Restated 2015 Equity Incentive Plan (the “2015 Plan”) for the benefit of the 2015 Plan participants and to provide incentives to attract, retain and motivate eligible persons whose present and potential contributions are important to the success of the Company, its parent and subsidiaries, by offering them an opportunity to participate in the Company’s future performance through equity awards; and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20"/>
          <w:szCs w:val="20"/>
          <w:color w:val="auto"/>
        </w:rPr>
        <w:t>WHEREAS, the Board adopted the 2020 Equity Incentive Plan, effective as of October 18, 2020; and</w:t>
      </w:r>
    </w:p>
    <w:p>
      <w:pPr>
        <w:spacing w:after="0" w:line="283" w:lineRule="exact"/>
        <w:rPr>
          <w:sz w:val="20"/>
          <w:szCs w:val="20"/>
          <w:color w:val="auto"/>
        </w:rPr>
      </w:pPr>
    </w:p>
    <w:p>
      <w:pPr>
        <w:ind w:right="60" w:firstLine="648"/>
        <w:spacing w:after="0" w:line="275" w:lineRule="auto"/>
        <w:rPr>
          <w:sz w:val="20"/>
          <w:szCs w:val="20"/>
          <w:color w:val="auto"/>
        </w:rPr>
      </w:pPr>
      <w:r>
        <w:rPr>
          <w:rFonts w:ascii="Arial" w:cs="Arial" w:eastAsia="Arial" w:hAnsi="Arial"/>
          <w:sz w:val="20"/>
          <w:szCs w:val="20"/>
          <w:color w:val="auto"/>
        </w:rPr>
        <w:t>WHEREAS, the Board determined that there shall be no new equity grants issued under the 2015 Plan after October 19, 2020 and all future equity grants are to be issued under the 2020 Plan; and</w:t>
      </w:r>
    </w:p>
    <w:p>
      <w:pPr>
        <w:spacing w:after="0" w:line="242" w:lineRule="exact"/>
        <w:rPr>
          <w:sz w:val="20"/>
          <w:szCs w:val="20"/>
          <w:color w:val="auto"/>
        </w:rPr>
      </w:pPr>
    </w:p>
    <w:p>
      <w:pPr>
        <w:ind w:right="380" w:firstLine="648"/>
        <w:spacing w:after="0" w:line="275" w:lineRule="auto"/>
        <w:rPr>
          <w:sz w:val="20"/>
          <w:szCs w:val="20"/>
          <w:color w:val="auto"/>
        </w:rPr>
      </w:pPr>
      <w:r>
        <w:rPr>
          <w:rFonts w:ascii="Arial" w:cs="Arial" w:eastAsia="Arial" w:hAnsi="Arial"/>
          <w:sz w:val="20"/>
          <w:szCs w:val="20"/>
          <w:color w:val="auto"/>
        </w:rPr>
        <w:t>WHEREAS, on June 7, 2022, the Company’s stockholders approved a reverse stock split of the Company’s common stock; and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Board delegated to a subcommittee of the Board authority to approve the final split ratio; and</w:t>
      </w:r>
    </w:p>
    <w:p>
      <w:pPr>
        <w:spacing w:after="0" w:line="270" w:lineRule="exact"/>
        <w:rPr>
          <w:sz w:val="20"/>
          <w:szCs w:val="20"/>
          <w:color w:val="auto"/>
        </w:rPr>
      </w:pPr>
    </w:p>
    <w:p>
      <w:pPr>
        <w:ind w:right="240" w:firstLine="648"/>
        <w:spacing w:after="0" w:line="289" w:lineRule="auto"/>
        <w:rPr>
          <w:sz w:val="20"/>
          <w:szCs w:val="20"/>
          <w:color w:val="auto"/>
        </w:rPr>
      </w:pPr>
      <w:r>
        <w:rPr>
          <w:rFonts w:ascii="Arial" w:cs="Arial" w:eastAsia="Arial" w:hAnsi="Arial"/>
          <w:sz w:val="20"/>
          <w:szCs w:val="20"/>
          <w:color w:val="auto"/>
        </w:rPr>
        <w:t>WHEREAS, on August 1, 2022, a subcommittee of the Board approved a one-for-eighteen reverse stock split effective as of 5:00 p.m. eastern time on August 12, 2022; and</w:t>
      </w:r>
    </w:p>
    <w:p>
      <w:pPr>
        <w:spacing w:after="0" w:line="216" w:lineRule="exact"/>
        <w:rPr>
          <w:sz w:val="20"/>
          <w:szCs w:val="20"/>
          <w:color w:val="auto"/>
        </w:rPr>
      </w:pPr>
    </w:p>
    <w:p>
      <w:pPr>
        <w:ind w:right="360" w:firstLine="648"/>
        <w:spacing w:after="0" w:line="289" w:lineRule="auto"/>
        <w:rPr>
          <w:sz w:val="20"/>
          <w:szCs w:val="20"/>
          <w:color w:val="auto"/>
        </w:rPr>
      </w:pPr>
      <w:r>
        <w:rPr>
          <w:rFonts w:ascii="Arial" w:cs="Arial" w:eastAsia="Arial" w:hAnsi="Arial"/>
          <w:sz w:val="20"/>
          <w:szCs w:val="20"/>
          <w:color w:val="auto"/>
        </w:rPr>
        <w:t>WHEREAS, Section 21 of the 2015 Plan permits the Board to amend the 2015 Plan from time to time, subject only to certain limitations specified therein, none of which are applicable to this amendment; and</w:t>
      </w:r>
    </w:p>
    <w:p>
      <w:pPr>
        <w:spacing w:after="0" w:line="216" w:lineRule="exact"/>
        <w:rPr>
          <w:sz w:val="20"/>
          <w:szCs w:val="20"/>
          <w:color w:val="auto"/>
        </w:rPr>
      </w:pPr>
    </w:p>
    <w:p>
      <w:pPr>
        <w:ind w:right="320" w:firstLine="648"/>
        <w:spacing w:after="0" w:line="289" w:lineRule="auto"/>
        <w:rPr>
          <w:sz w:val="20"/>
          <w:szCs w:val="20"/>
          <w:color w:val="auto"/>
        </w:rPr>
      </w:pPr>
      <w:r>
        <w:rPr>
          <w:rFonts w:ascii="Arial" w:cs="Arial" w:eastAsia="Arial" w:hAnsi="Arial"/>
          <w:sz w:val="20"/>
          <w:szCs w:val="20"/>
          <w:color w:val="auto"/>
        </w:rPr>
        <w:t>WHEREAS, this amendment will not require stockholder approval because it does not represent a material revision to the 2015 Plan; and</w:t>
      </w:r>
    </w:p>
    <w:p>
      <w:pPr>
        <w:spacing w:after="0" w:line="216" w:lineRule="exact"/>
        <w:rPr>
          <w:sz w:val="20"/>
          <w:szCs w:val="20"/>
          <w:color w:val="auto"/>
        </w:rPr>
      </w:pPr>
    </w:p>
    <w:p>
      <w:pPr>
        <w:ind w:right="920" w:firstLine="648"/>
        <w:spacing w:after="0" w:line="289" w:lineRule="auto"/>
        <w:rPr>
          <w:sz w:val="20"/>
          <w:szCs w:val="20"/>
          <w:color w:val="auto"/>
        </w:rPr>
      </w:pPr>
      <w:r>
        <w:rPr>
          <w:rFonts w:ascii="Arial" w:cs="Arial" w:eastAsia="Arial" w:hAnsi="Arial"/>
          <w:sz w:val="20"/>
          <w:szCs w:val="20"/>
          <w:color w:val="auto"/>
        </w:rPr>
        <w:t>WHEREAS, the Board and the Compensation Committee authorized any officer of the Company to adopt such amendment on behalf of the Board;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following amendment is hereby made part of the 2015 Plan, effective as of August 12, 2022:</w:t>
      </w:r>
    </w:p>
    <w:p>
      <w:pPr>
        <w:spacing w:after="0" w:line="283" w:lineRule="exact"/>
        <w:rPr>
          <w:sz w:val="20"/>
          <w:szCs w:val="20"/>
          <w:color w:val="auto"/>
        </w:rPr>
      </w:pPr>
    </w:p>
    <w:p>
      <w:pPr>
        <w:ind w:right="320" w:firstLine="8"/>
        <w:spacing w:after="0" w:line="275" w:lineRule="auto"/>
        <w:tabs>
          <w:tab w:leader="none" w:pos="3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introductory sentence of Section 2.1 is hereby deleted in its entirety and replaced with the following new sentence to decrease the aggregate number of shares of common stock issuable thereunder:</w:t>
      </w:r>
    </w:p>
    <w:p>
      <w:pPr>
        <w:sectPr>
          <w:pgSz w:w="11900" w:h="16838" w:orient="portrait"/>
          <w:cols w:equalWidth="0" w:num="1">
            <w:col w:w="11240"/>
          </w:cols>
          <w:pgMar w:left="320" w:top="1421" w:right="339" w:bottom="1440" w:gutter="0" w:footer="0" w:header="0"/>
        </w:sectPr>
      </w:pPr>
    </w:p>
    <w:bookmarkStart w:id="63" w:name="page64"/>
    <w:bookmarkEnd w:id="63"/>
    <w:p>
      <w:pPr>
        <w:spacing w:after="0" w:line="249" w:lineRule="exact"/>
        <w:rPr>
          <w:sz w:val="20"/>
          <w:szCs w:val="20"/>
          <w:color w:val="auto"/>
        </w:rPr>
      </w:pPr>
    </w:p>
    <w:p>
      <w:pPr>
        <w:jc w:val="both"/>
        <w:ind w:right="120"/>
        <w:spacing w:after="0" w:line="278"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Number of Shares Available</w:t>
      </w:r>
      <w:r>
        <w:rPr>
          <w:rFonts w:ascii="Arial" w:cs="Arial" w:eastAsia="Arial" w:hAnsi="Arial"/>
          <w:sz w:val="20"/>
          <w:szCs w:val="20"/>
          <w:color w:val="auto"/>
        </w:rPr>
        <w:t>. Subject to Sections 2.2 and 18 hereof, the total number of Shares reserved and available for grant and issuance pursuant to this Plan will be 2,520,552 Shares or such lesser number of Shares as permitted by applicable law.</w:t>
      </w:r>
    </w:p>
    <w:p>
      <w:pPr>
        <w:spacing w:after="0" w:line="240"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Section 5.10 is hereby deleted in its entirety and replaced with the following</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No Disqualification</w:t>
      </w:r>
      <w:r>
        <w:rPr>
          <w:rFonts w:ascii="Arial" w:cs="Arial" w:eastAsia="Arial" w:hAnsi="Arial"/>
          <w:sz w:val="20"/>
          <w:szCs w:val="20"/>
          <w:color w:val="auto"/>
        </w:rPr>
        <w:t>.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to disqualify any Participant’s ISO under Section 422 of the Code. In no event shall the total number of Shares issued (counting each reissuance of a Share that was previously issued and then forfeited or repurchased by the Company as a separate issuance) under the Plan upon exercise of ISOs exceed 333,333 Shares (adjusted in proportion to any adjustments under Section 2.2 hereof) over the term of the Plan.</w:t>
      </w:r>
    </w:p>
    <w:p>
      <w:pPr>
        <w:spacing w:after="0" w:line="230" w:lineRule="exact"/>
        <w:rPr>
          <w:sz w:val="20"/>
          <w:szCs w:val="20"/>
          <w:color w:val="auto"/>
        </w:rPr>
      </w:pPr>
    </w:p>
    <w:p>
      <w:pPr>
        <w:ind w:right="60" w:firstLine="648"/>
        <w:spacing w:after="0" w:line="289" w:lineRule="auto"/>
        <w:rPr>
          <w:sz w:val="20"/>
          <w:szCs w:val="20"/>
          <w:color w:val="auto"/>
        </w:rPr>
      </w:pPr>
      <w:r>
        <w:rPr>
          <w:rFonts w:ascii="Arial" w:cs="Arial" w:eastAsia="Arial" w:hAnsi="Arial"/>
          <w:sz w:val="20"/>
          <w:szCs w:val="20"/>
          <w:color w:val="auto"/>
        </w:rPr>
        <w:t>IN WITNESS WHEREOF, the Company has executed this First Amendment to the 2015 Amended and Restated Equity Incentive Plan.</w:t>
      </w:r>
    </w:p>
    <w:p>
      <w:pPr>
        <w:spacing w:after="0" w:line="216"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Root, Inc.</w:t>
      </w:r>
    </w:p>
    <w:p>
      <w:pPr>
        <w:spacing w:after="0" w:line="297"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0"/>
          <w:szCs w:val="20"/>
          <w:color w:val="auto"/>
        </w:rPr>
        <w:t>By:</w:t>
        <w:tab/>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-22860</wp:posOffset>
            </wp:positionV>
            <wp:extent cx="13569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Alexander Timm</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Executive Officer</w:t>
      </w:r>
    </w:p>
    <w:p>
      <w:pPr>
        <w:spacing w:after="0" w:line="4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Date: August 12, 2022</w:t>
      </w:r>
    </w:p>
    <w:p>
      <w:pPr>
        <w:sectPr>
          <w:pgSz w:w="11900" w:h="16838" w:orient="portrait"/>
          <w:cols w:equalWidth="0" w:num="1">
            <w:col w:w="11140"/>
          </w:cols>
          <w:pgMar w:left="320" w:top="1440"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50" w:lineRule="exact"/>
        <w:rPr>
          <w:sz w:val="20"/>
          <w:szCs w:val="20"/>
          <w:color w:val="auto"/>
        </w:rPr>
      </w:pPr>
    </w:p>
    <w:p>
      <w:pPr>
        <w:ind w:left="360" w:hanging="334"/>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9" w:lineRule="exact"/>
        <w:rPr>
          <w:rFonts w:ascii="Arial" w:cs="Arial" w:eastAsia="Arial" w:hAnsi="Arial"/>
          <w:sz w:val="18"/>
          <w:szCs w:val="18"/>
          <w:color w:val="auto"/>
        </w:rPr>
      </w:pPr>
    </w:p>
    <w:p>
      <w:pPr>
        <w:jc w:val="both"/>
        <w:ind w:left="360" w:right="20" w:hanging="334"/>
        <w:spacing w:after="0" w:line="256"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Arial" w:cs="Arial" w:eastAsia="Arial" w:hAnsi="Arial"/>
          <w:sz w:val="18"/>
          <w:szCs w:val="18"/>
          <w:color w:val="auto"/>
        </w:rPr>
      </w:pPr>
    </w:p>
    <w:p>
      <w:pPr>
        <w:ind w:left="360" w:right="20" w:hanging="334"/>
        <w:spacing w:after="0" w:line="273"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jc w:val="both"/>
        <w:ind w:left="360" w:right="20" w:hanging="334"/>
        <w:spacing w:after="0" w:line="256"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740" w:right="20" w:hanging="390"/>
        <w:spacing w:after="0" w:line="290" w:lineRule="auto"/>
        <w:tabs>
          <w:tab w:leader="none" w:pos="7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40" w:right="20" w:hanging="390"/>
        <w:spacing w:after="0" w:line="256"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8"/>
          <w:szCs w:val="18"/>
          <w:color w:val="auto"/>
        </w:rPr>
      </w:pPr>
    </w:p>
    <w:p>
      <w:pPr>
        <w:ind w:left="360" w:right="20" w:hanging="334"/>
        <w:spacing w:after="0" w:line="290"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40" w:right="20" w:hanging="390"/>
        <w:spacing w:after="0" w:line="273"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740" w:right="20" w:hanging="390"/>
        <w:spacing w:after="0" w:line="277"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23495</wp:posOffset>
            </wp:positionV>
            <wp:extent cx="27171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Robert Bateman, certify that:</w:t>
      </w:r>
    </w:p>
    <w:p>
      <w:pPr>
        <w:spacing w:after="0" w:line="117" w:lineRule="exact"/>
        <w:rPr>
          <w:sz w:val="20"/>
          <w:szCs w:val="20"/>
          <w:color w:val="auto"/>
        </w:rPr>
      </w:pPr>
    </w:p>
    <w:p>
      <w:pPr>
        <w:ind w:left="360" w:hanging="334"/>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50" w:lineRule="exact"/>
        <w:rPr>
          <w:sz w:val="20"/>
          <w:szCs w:val="20"/>
          <w:color w:val="auto"/>
        </w:rPr>
      </w:pPr>
    </w:p>
    <w:p>
      <w:pPr>
        <w:jc w:val="both"/>
        <w:ind w:left="360" w:right="20" w:hanging="334"/>
        <w:spacing w:after="0" w:line="256"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sz w:val="20"/>
          <w:szCs w:val="20"/>
          <w:color w:val="auto"/>
        </w:rPr>
      </w:pPr>
    </w:p>
    <w:p>
      <w:pPr>
        <w:ind w:left="360" w:right="20" w:hanging="334"/>
        <w:spacing w:after="0" w:line="261"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sz w:val="20"/>
          <w:szCs w:val="20"/>
          <w:color w:val="auto"/>
        </w:rPr>
      </w:pPr>
    </w:p>
    <w:p>
      <w:pPr>
        <w:jc w:val="both"/>
        <w:ind w:left="360" w:right="20" w:hanging="334"/>
        <w:spacing w:after="0" w:line="256"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740" w:right="20" w:hanging="390"/>
        <w:spacing w:after="0" w:line="290" w:lineRule="auto"/>
        <w:tabs>
          <w:tab w:leader="none" w:pos="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40" w:right="20" w:hanging="390"/>
        <w:spacing w:after="0" w:line="256"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sz w:val="20"/>
          <w:szCs w:val="20"/>
          <w:color w:val="auto"/>
        </w:rPr>
      </w:pPr>
    </w:p>
    <w:p>
      <w:pPr>
        <w:ind w:left="360" w:right="20" w:hanging="334"/>
        <w:spacing w:after="0" w:line="290" w:lineRule="auto"/>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40" w:right="20" w:hanging="390"/>
        <w:spacing w:after="0" w:line="261"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8"/>
          <w:szCs w:val="18"/>
          <w:color w:val="auto"/>
        </w:rPr>
      </w:pPr>
    </w:p>
    <w:p>
      <w:pPr>
        <w:ind w:left="740" w:right="20" w:hanging="390"/>
        <w:spacing w:after="0" w:line="261"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72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Bateman</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Robert Bateman, Chief Financial Officer of the Company, each hereby certifies that, to the best of his knowledge:</w:t>
      </w:r>
    </w:p>
    <w:p>
      <w:pPr>
        <w:spacing w:after="0" w:line="265" w:lineRule="exact"/>
        <w:rPr>
          <w:sz w:val="20"/>
          <w:szCs w:val="20"/>
          <w:color w:val="auto"/>
        </w:rPr>
      </w:pPr>
    </w:p>
    <w:p>
      <w:pPr>
        <w:ind w:left="340" w:right="280" w:hanging="125"/>
        <w:spacing w:after="0" w:line="261" w:lineRule="auto"/>
        <w:rPr>
          <w:sz w:val="20"/>
          <w:szCs w:val="20"/>
          <w:color w:val="auto"/>
        </w:rPr>
      </w:pPr>
      <w:r>
        <w:rPr>
          <w:rFonts w:ascii="Arial" w:cs="Arial" w:eastAsia="Arial" w:hAnsi="Arial"/>
          <w:sz w:val="18"/>
          <w:szCs w:val="18"/>
          <w:color w:val="auto"/>
        </w:rPr>
        <w:t>1 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22" w:lineRule="exact"/>
        <w:rPr>
          <w:sz w:val="20"/>
          <w:szCs w:val="20"/>
          <w:color w:val="auto"/>
        </w:rPr>
      </w:pPr>
    </w:p>
    <w:p>
      <w:pPr>
        <w:ind w:left="340" w:right="600" w:hanging="125"/>
        <w:spacing w:after="0" w:line="261" w:lineRule="auto"/>
        <w:rPr>
          <w:sz w:val="20"/>
          <w:szCs w:val="20"/>
          <w:color w:val="auto"/>
        </w:rPr>
      </w:pPr>
      <w:r>
        <w:rPr>
          <w:rFonts w:ascii="Arial" w:cs="Arial" w:eastAsia="Arial" w:hAnsi="Arial"/>
          <w:sz w:val="18"/>
          <w:szCs w:val="18"/>
          <w:color w:val="auto"/>
        </w:rPr>
        <w:t>2 The information contained in the Periodic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2022</w:t>
      </w:r>
    </w:p>
    <w:p>
      <w:pPr>
        <w:spacing w:after="0" w:line="200" w:lineRule="exact"/>
        <w:rPr>
          <w:sz w:val="20"/>
          <w:szCs w:val="20"/>
          <w:color w:val="auto"/>
        </w:rPr>
      </w:pPr>
    </w:p>
    <w:p>
      <w:pPr>
        <w:spacing w:after="0" w:line="3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Robert Bateman</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20" w:lineRule="exact"/>
        <w:rPr>
          <w:sz w:val="20"/>
          <w:szCs w:val="20"/>
          <w:color w:val="auto"/>
        </w:rPr>
      </w:pPr>
    </w:p>
    <w:p>
      <w:pPr>
        <w:jc w:val="both"/>
        <w:ind w:right="240"/>
        <w:spacing w:after="0" w:line="276" w:lineRule="auto"/>
        <w:rPr>
          <w:sz w:val="20"/>
          <w:szCs w:val="20"/>
          <w:color w:val="auto"/>
        </w:rPr>
      </w:pPr>
      <w:r>
        <w:rPr>
          <w:rFonts w:ascii="Arial" w:cs="Arial" w:eastAsia="Arial" w:hAnsi="Arial"/>
          <w:sz w:val="16"/>
          <w:szCs w:val="16"/>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1."/>
      <w:numFmt w:val="decimal"/>
      <w:start w:val="11"/>
    </w:lvl>
  </w:abstractNum>
  <w:abstractNum w:abstractNumId="15">
    <w:nsid w:val="79838CB2"/>
    <w:multiLevelType w:val="hybridMultilevel"/>
    <w:lvl w:ilvl="0">
      <w:lvlJc w:val="left"/>
      <w:lvlText w:val="%1."/>
      <w:numFmt w:val="decimal"/>
      <w:start w:val="12"/>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1."/>
      <w:numFmt w:val="decimal"/>
      <w:start w:val="15"/>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2"/>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2"/>
      <w:numFmt w:val="bullet"/>
      <w:start w:val="1"/>
    </w:lvl>
  </w:abstractNum>
  <w:abstractNum w:abstractNumId="31">
    <w:nsid w:val="4516DDE9"/>
    <w:multiLevelType w:val="hybridMultilevel"/>
    <w:lvl w:ilvl="0">
      <w:lvlJc w:val="left"/>
      <w:lvlText w:val="3"/>
      <w:numFmt w:val="bullet"/>
      <w:start w:val="1"/>
    </w:lvl>
  </w:abstractNum>
  <w:abstractNum w:abstractNumId="32">
    <w:nsid w:val="3006C83E"/>
    <w:multiLevelType w:val="hybridMultilevel"/>
    <w:lvl w:ilvl="0">
      <w:lvlJc w:val="left"/>
      <w:lvlText w:val="4"/>
      <w:numFmt w:val="bullet"/>
      <w:start w:val="1"/>
    </w:lvl>
    <w:lvl w:ilvl="1">
      <w:lvlJc w:val="left"/>
      <w:lvlText w:val="(%2)"/>
      <w:numFmt w:val="lowerLetter"/>
      <w:start w:val="1"/>
    </w:lvl>
  </w:abstractNum>
  <w:abstractNum w:abstractNumId="33">
    <w:nsid w:val="614FD4A1"/>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95" Type="http://schemas.openxmlformats.org/officeDocument/2006/relationships/hyperlink" Target="http://www.sec.gov/Archives/edgar/data/0001788882/000162828020015173/exhibit31-8xkxamendeda.htm" TargetMode="External"/><Relationship Id="rId96" Type="http://schemas.openxmlformats.org/officeDocument/2006/relationships/hyperlink" Target="https://www.sec.gov/Archives/edgar/data/1788882/000178888222000026/a31rootcharteramendment.htm" TargetMode="External"/><Relationship Id="rId97" Type="http://schemas.openxmlformats.org/officeDocument/2006/relationships/hyperlink" Target="http://www.sec.gov/Archives/edgar/data/0001788882/000178888221000062/a32amendedandrestatedbylaw.htm" TargetMode="External"/><Relationship Id="rId98" Type="http://schemas.openxmlformats.org/officeDocument/2006/relationships/hyperlink" Target="http://www.sec.gov/Archives/edgar/data/0001788882/000119312521289291/d236036dex31.htm" TargetMode="External"/><Relationship Id="rId99" Type="http://schemas.openxmlformats.org/officeDocument/2006/relationships/hyperlink" Target="http://www.sec.gov/Archives/edgar/data/1788882/000162828020014581/exhibit41-sx1a1xformof.htm" TargetMode="External"/><Relationship Id="rId100" Type="http://schemas.openxmlformats.org/officeDocument/2006/relationships/hyperlink" Target="http://www.sec.gov/Archives/edgar/data/0001788882/000119312521289291/d236036dex41.htm" TargetMode="External"/><Relationship Id="rId101" Type="http://schemas.openxmlformats.org/officeDocument/2006/relationships/hyperlink" Target="http://www.sec.gov/Archives/edgar/data/1788882/000119312522018949/d295910dex41.htm" TargetMode="External"/><Relationship Id="rId102" Type="http://schemas.openxmlformats.org/officeDocument/2006/relationships/hyperlink" Target="http://www.sec.gov/Archives/edgar/data/1788882/000119312522018949/d29591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2022-11-10T03:01:28Z</dcterms:created>
  <dcterms:modified xsi:type="dcterms:W3CDTF">2022-11-10T03:01:28Z</dcterms:modified>
</cp:coreProperties>
</file>